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ATAS/351/2023 vom 17. Mai 2023</w:t>
      </w:r>
    </w:p>
    <w:p>
      <w:r>
        <w:t>GE Cour de justice, 2023-05-17, FR</w:t>
      </w:r>
    </w:p>
    <w:p>
      <w:r>
        <w:rPr>
          <w:b/>
        </w:rPr>
        <w:t xml:space="preserve">Quelle: </w:t>
      </w:r>
      <w:r>
        <w:t>https://mcp.opencaselaw.ch/entscheid/ge_gerichte_ATAS_351_2023</w:t>
      </w:r>
    </w:p>
    <w:p>
      <w:r>
        <w:t>FR: GE_GERICHTE ATAS/351/2023 du 17 mai 2023</w:t>
      </w:r>
    </w:p>
    <w:p>
      <w:r>
        <w:t>IT: GE_GERICHTE ATAS/351/2023 del 17 maggio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t>A/3471/2022 - 5/8 - Sa compétence pour juger du cas d’espèce est ainsi établie.</w:t>
      </w:r>
    </w:p>
    <w:p>
      <w:r>
        <w:rPr>
          <w:b/>
        </w:rPr>
        <w:t>E. 2</w:t>
      </w:r>
    </w:p>
    <w:p>
      <w:r>
        <w:t>Interjeté en temps utile, le recours est recevable (art. 60 LPGA).</w:t>
      </w:r>
    </w:p>
    <w:p>
      <w:r>
        <w:rPr>
          <w:b/>
        </w:rPr>
        <w:t>E. 3</w:t>
      </w:r>
    </w:p>
    <w:p>
      <w:r>
        <w:t>Le litige porte sur le bien-fondé de la décision de l’intimée refusant la prise en charge des frais d’hospitalisation de la recourante en Thaïlande.</w:t>
      </w:r>
    </w:p>
    <w:p>
      <w:r>
        <w:rPr>
          <w:b/>
        </w:rPr>
        <w:t>E. 4.1</w:t>
      </w:r>
    </w:p>
    <w:p>
      <w:r>
        <w:t>L’assurance-maladie est régie par le principe de territorialité, ancré à l’art. 34 al. 2 LAMal. Selon ce principe, seules sont à la charge de la caisse- maladie les prestations dispensées en Suisse ou, s’agissant de prestations délivrées sur ordonnance, celles qui sont prescrites par un fournisseur de prestations admis à pratiquer en Suisse afin d’être fournies en Suisse (Martin ZOBL / Kerstin Noëlle VOKINGER in Basler Kommentar, Krankenversicherungsgesetz und Krankenversicherungsaufsichtsgesetz, 2020, n. 3 ad art. 34 LAMal). L'art. 34 al. 2 let. a LAMal confère au Conseil fédéral la possibilité de prévoir la prise en charge par l’assurance obligatoire des soins des coûts des prestations visées aux art. 25 al. 2 et 29 qui sont fournies à l’étranger, pour des raisons médicales ou dans le cadre de la coopération transfrontalière, à des assurés qui résident en Suisse. Aux termes de l'art. 34 al. 3 LAMal, le Conseil fédéral peut limiter la prise en charge des coûts des prestations fournies à l'étranger. La notion de raisons d’ordre médical prévue à l’art. 34 al. 2 LAMal doit être interprétée de manière restrictive (ATF 134 V 330 consid. 2.4).</w:t>
      </w:r>
    </w:p>
    <w:p>
      <w:r>
        <w:rPr>
          <w:b/>
        </w:rPr>
        <w:t>E. 4.2</w:t>
      </w:r>
    </w:p>
    <w:p>
      <w:r>
        <w:t>Sur la base de la délégation de compétence de l’art. 34 LAMal, le Conseil fédéral a édicté l'art. 36 de l’ordonnance sur l'assurance-maladie du 27 juin 1995 (OAMal - RS 832.102), qui définit l'étendue de la prise en charge des prestations à l'étranger. Selon l’al. 2 de cette disposition,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Ce qui est déterminant dans l’application de cette disposition est que l'assuré ait subitement besoin et de manière imprévue d'un traitement à l'étranger. Il faut que des raisons médicales s'opposent à un report du traitement et qu'un retour en Suisse apparaisse inapproprié (arrêt du Tribunal fédéral des assurances K 65/03 du 5 août 2003 consid. 2.2). Le déplacement à l'étranger en vue d'y effectuer un traitement exclut que ce traitement soit considéré comme urgent (ATF 128 V 75 consid. 2a).</w:t>
      </w:r>
    </w:p>
    <w:p>
      <w:r>
        <w:rPr>
          <w:b/>
        </w:rPr>
        <w:t>E. 4.3</w:t>
      </w:r>
    </w:p>
    <w:p>
      <w:r>
        <w:t>Le juge des assurances sociales fonde sa décision, sauf dispositions contraires de la loi, sur les faits qui, faute d’être établis de manière irréfutable, apparaissent</w:t>
      </w:r>
    </w:p>
    <w:p>
      <w:r>
        <w:t>A/3471/2022 - 6/8 -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4.4</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w:t>
      </w:r>
    </w:p>
    <w:p>
      <w:r>
        <w:rPr>
          <w:b/>
        </w:rPr>
        <w:t>E. 5</w:t>
      </w:r>
    </w:p>
    <w:p>
      <w:r>
        <w:t>En l’espèce, il ressort des faits de la cause que l’hospitalisation dont la prise en charge est demandée par la recourante n’a pas été due à une urgence médicale, mais à des mesures sanitaires ordonnées par le gouvernement thaïlandais. En effet, la recourante a été hospitalisée, selon ses propres dires, à son arrivée en Thaïlande, en raison du fait qu’elle avait été testée positive à la Covid-19 avec symptômes. Elle n’a pas rendu vraisemblable que les symptômes dont elle souffrait justifiaient une hospitalisation en urgence pour des raisons médicales. Il est en revanche établi par l’attestation de l’ambassade de Suisse produite que les voyageurs étrangers qui entraient en Thaïlande et étaient testés positifs au Covid devaient aller à l’hôpital ou dans un hôtel avec soins médicaux en quarantaine au moins dix jours. Le fait que l’hôpital ait procédé à une radio du thorax de la recourante ainsi qu’à des prises de sang et voulu qu’elle prenne un traitement oral par Avigan® ne suffit pas à établir une urgence médicale. Le fait qu’elle ait dû être hospitalisée, sur instruction du gouvernement thaïlandais, ne suffit pas à lui ouvrir le droit à une prise en charge de cette hospitalisation par l’intimée.</w:t>
      </w:r>
    </w:p>
    <w:p>
      <w:r>
        <w:t>A/3471/2022 - 7/8 - Il en résulte que les conditions de l’art. 36 al. 2 OAMal ne sont pas remplies et la décision de l’intimée doit être confirmée.</w:t>
      </w:r>
    </w:p>
    <w:p>
      <w:r>
        <w:rPr>
          <w:b/>
        </w:rPr>
        <w:t>E. 6</w:t>
      </w:r>
    </w:p>
    <w:p>
      <w:r>
        <w:t>Infondé, le recours sera rejeté. La procédure est gratuite.</w:t>
      </w:r>
    </w:p>
    <w:p>
      <w:r>
        <w:t>A/3471/2022 - 8/8 -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