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ATAS/351/2022 vom 11. April 2022</w:t>
      </w:r>
    </w:p>
    <w:p>
      <w:r>
        <w:t>GE Cour de justice, 2022-04-11, FR</w:t>
      </w:r>
    </w:p>
    <w:p>
      <w:r>
        <w:rPr>
          <w:b/>
        </w:rPr>
        <w:t xml:space="preserve">Quelle: </w:t>
      </w:r>
      <w:r>
        <w:t>https://mcp.opencaselaw.ch/entscheid/ge_gerichte_ATAS_351_2022</w:t>
      </w:r>
    </w:p>
    <w:p>
      <w:r>
        <w:t>FR: GE_GERICHTE ATAS/351/2022 du 11 avril 2022</w:t>
      </w:r>
    </w:p>
    <w:p>
      <w:r>
        <w:t>IT: GE_GERICHTE ATAS/351/2022 del 11 aprile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les délai et formes prescrits par la loi, le recours est recevable.</w:t>
      </w:r>
    </w:p>
    <w:p>
      <w:r>
        <w:rPr>
          <w:b/>
        </w:rPr>
        <w:t>E. 2</w:t>
      </w:r>
    </w:p>
    <w:p>
      <w:r>
        <w:t>Est litigieuse en l’occurrence la question de savoir si le recourant peut prétendre à une rente d’invalidité.</w:t>
      </w:r>
    </w:p>
    <w:p>
      <w:r>
        <w:t>_____________________________________________________________________________________</w:t>
      </w:r>
    </w:p>
    <w:p>
      <w:r>
        <w:t>A/4064/2019 - 7/13 -</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w:t>
      </w:r>
    </w:p>
    <w:p>
      <w:r>
        <w:t>_____________________________________________________________________________________</w:t>
      </w:r>
    </w:p>
    <w:p>
      <w:r>
        <w:t>A/4064/2019 - 8/13 -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4.3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4.4</w:t>
      </w:r>
    </w:p>
    <w:p>
      <w:r>
        <w:t>On ajoutera qu'en cas de divergence d’opinion entre experts et médecins traitants, il n'est pas, de manière générale, nécessaire de mettre en œuvre une</w:t>
      </w:r>
    </w:p>
    <w:p>
      <w:r>
        <w:t>_____________________________________________________________________________________</w:t>
      </w:r>
    </w:p>
    <w:p>
      <w:r>
        <w:t>A/4064/2019 - 9/13 -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4.5</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w:t>
      </w:r>
    </w:p>
    <w:p>
      <w:r>
        <w:t>_____________________________________________________________________________________</w:t>
      </w:r>
    </w:p>
    <w:p>
      <w:r>
        <w:t>A/4064/2019 - 10/13 -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w:t>
      </w:r>
    </w:p>
    <w:p>
      <w:r>
        <w:t>_____________________________________________________________________________________</w:t>
      </w:r>
    </w:p>
    <w:p>
      <w:r>
        <w:t>A/4064/2019 - 11/13 -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7</w:t>
      </w:r>
    </w:p>
    <w:p>
      <w:r>
        <w:t>En l’occurrence, la chambre de céans a estimé que, pour évaluer la capacité de travail du recourant, il convenait d’instruire l’aspect somatique, par le biais d’une expertise rhumatologique judiciaire.</w:t>
      </w:r>
    </w:p>
    <w:p>
      <w:r>
        <w:rPr>
          <w:b/>
        </w:rPr>
        <w:t>E. 7.1</w:t>
      </w:r>
    </w:p>
    <w:p>
      <w:r>
        <w:t>Fondée sur toutes les pièces du dossier, comprenant les plaintes du recourant, une anamnèse, un examen somatique, posant des diagnostics et limitations fonctionnelles clairs et effectuant une analyse convaincante de la capacité de travail du recourant, l’expertise judiciaire répond aux réquisits jurisprudentiels précités pour qu’il lui soit reconnu une pleine valeur probante. L’expert a conclu à une capacité de travail du recourant de 50% dans une activité adaptée aux limitations fonctionnelles de janvier au 15 juillet 2018, nulle du 16 juillet au 30 septembre 2018, de 50% du 1er octobre au 31 décembre 2018 et de 100% dès le 1er janvier 2019, avec une baisse de rendement de 10%.</w:t>
      </w:r>
    </w:p>
    <w:p>
      <w:r>
        <w:rPr>
          <w:b/>
        </w:rPr>
        <w:t>E. 7.2</w:t>
      </w:r>
    </w:p>
    <w:p>
      <w:r>
        <w:t>L’intimé admet la valeur probante de cette expertise, contrairement au recourant. Les arguments avancés par le recourant ne sont cependant pas à même de mettre en cause la valeur probante de cette dernière. En effet, le recourant se contente principalement de préciser que ses douleurs n’ont pas été suffisamment prises en compte dans l’expertise, sans contester spécifiquement les diagnostics posés et les limitations fonctionnelles retenues. Il n’a, en particulier, pas contesté avoir pu rester assis sur sa chaise pendant toute l’anamnèse, soit pendant deux bonnes heures, se bornant à souligner que c’était le médecin qui aurait dû lui proposer de se lever et de changer de position. Enfin, s’agissant de la nécessité d’effectuer des infiltrations, l’expert en a bien tenu compte puisqu’il a estimé que le recourant avait présenté depuis octobre 2015 des détériorations transitoires ayant nécessité des infiltrations puis une opération lombaire.</w:t>
      </w:r>
    </w:p>
    <w:p>
      <w:r>
        <w:t>_____________________________________________________________________________________</w:t>
      </w:r>
    </w:p>
    <w:p>
      <w:r>
        <w:t>A/4064/2019 - 12/13 -</w:t>
      </w:r>
    </w:p>
    <w:p>
      <w:r>
        <w:rPr>
          <w:b/>
        </w:rPr>
        <w:t>E. 7.3</w:t>
      </w:r>
    </w:p>
    <w:p>
      <w:r>
        <w:t>Au vu de ce qui précède, la valeur probante de l’expertise judiciaire peut être confirmée et il convient de suivre ses conclusions.</w:t>
      </w:r>
    </w:p>
    <w:p>
      <w:r>
        <w:rPr>
          <w:b/>
        </w:rPr>
        <w:t>E. 7.4</w:t>
      </w:r>
    </w:p>
    <w:p>
      <w:r>
        <w:t>S’agissant de l’aspect psychiatrique, le recourant a produit des rapports médicaux du Dr B______ des 23 mai 2018, 3 avril 2019 et 29 juillet 2019, attestant, selon lui, d’une péjoration de son état de santé psychique. Cependant, le Dr B______ n’apporte pas d’éléments aggravants déterminants par rapport aux constatations de l’expert F______. Il mentionne même que les symptômes de la dépression du recourant ont régressé. Quant à l’augmentation de la symptomatologie anxieuse, elle avait fait l’objet d’un traitement médicamenteux qui avait permis au recourant de suivre son stage aux EPI, avec un bon équilibre psychique (avis du 23 mai 2018). Par ailleurs, le rapport du 3 avril 2019 du Dr B______ conteste principalement la capacité de travail totale retenue par l’intimé en faisant valoir des limitations non pas psychiques mais somatiques du recourant. Enfin, le certificat médical du 29 juillet 2019 ne contient aucune motivation. Partant, aucun élément médical ne permet de considérer qu’une aggravation déterminante de l’état de santé psychique du recourant s’est produite depuis l’évaluation de l’expert F______.</w:t>
      </w:r>
    </w:p>
    <w:p>
      <w:r>
        <w:rPr>
          <w:b/>
        </w:rPr>
        <w:t>E. 8</w:t>
      </w:r>
    </w:p>
    <w:p>
      <w:r>
        <w:t>Conformément à la proposition de l’intimé, le recours sera partiellement admis, la décision litigieuse annulée et la cause sera renvoyée à l’intimé pour calcul du degré d’invalidité du recourant, sur la base des incapacités de travail retenues par l’expert judiciaire et nouvelle décision.</w:t>
      </w:r>
    </w:p>
    <w:p>
      <w:r>
        <w:rPr>
          <w:b/>
        </w:rPr>
        <w:t>E. 9</w:t>
      </w:r>
    </w:p>
    <w:p>
      <w:r>
        <w:t>Vu l’issue du recours, une indemnité de CHF 1'500.- est allouée au recourant. En outre, vu l’absence d’instruction médicale somatique, alors même que le rapport des EPI du 14 mai 2018 concluait à une capacité de travail du recourant réduite à 50% dans une activité adaptée, les frais de l’expertise en CHF 5'950.- seront mis à la charge de l’intimé. Un émolument de CHF 200.- sera mis à charge de l’intimé (art. 69 al.1bis LAI).</w:t>
      </w:r>
    </w:p>
    <w:p>
      <w:r>
        <w:t>_____________________________________________________________________________________</w:t>
      </w:r>
    </w:p>
    <w:p>
      <w:r>
        <w:t>A/4064/2019 - 13/13 -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