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ATAS/351/2017 vom 27. April 2017</w:t>
      </w:r>
    </w:p>
    <w:p>
      <w:r>
        <w:t>GE Cour de justice, 2017-04-27, FR</w:t>
      </w:r>
    </w:p>
    <w:p>
      <w:r>
        <w:rPr>
          <w:b/>
        </w:rPr>
        <w:t xml:space="preserve">Quelle: </w:t>
      </w:r>
      <w:r>
        <w:t>https://mcp.opencaselaw.ch/entscheid/ge_gerichte_ATAS_351_2017</w:t>
      </w:r>
    </w:p>
    <w:p>
      <w:r>
        <w:t>FR: GE_GERICHTE ATAS/351/2017 du 27 avril 2017</w:t>
      </w:r>
    </w:p>
    <w:p>
      <w:r>
        <w:t>IT: GE_GERICHTE ATAS/351/2017 del 27 aprile 2017</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de sorte que sa compétence ratione materiae est établie ; Qu'en revanche, aux termes de l'art. 58 LPGA, le tribunal des assurances compétent est celui du canton de domicile de l'assuré ou d'une autre partie au moment du dépôt du recours (alinéa 1) ; Que si l'assuré ou une autre partie sont domiciliés à l'étranger, le tribunal des assurances compétent est celui du canton de leur dernier domicile en Suisse ou celui du canton de domicile de leur dernier employeur suisse (art. 58 al. 2 LPGA) ;</w:t>
      </w:r>
    </w:p>
    <w:p>
      <w:r>
        <w:t>A/852/2017 - 3/3 - Que le tribunal qui décline sa compétence transmet sans délai le recours au tribunal compétent (art. 58 al. 3 LPGA) ; Qu'en l'espèce, le tribunal compétent est donc celui du siège du dernier employeur de l’assuré en Suisse, soit celui du canton de Vaud ; Que la Chambre de céans est par conséquent incompétente ratione loci.</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