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ATAS/351/2015 vom 12. Mai 2015</w:t>
      </w:r>
    </w:p>
    <w:p>
      <w:r>
        <w:t>GE Cour de justice, 2015-05-12, FR</w:t>
      </w:r>
    </w:p>
    <w:p>
      <w:r>
        <w:rPr>
          <w:b/>
        </w:rPr>
        <w:t xml:space="preserve">Quelle: </w:t>
      </w:r>
      <w:r>
        <w:t>https://mcp.opencaselaw.ch/entscheid/ge_gerichte_ATAS_351_2015</w:t>
      </w:r>
    </w:p>
    <w:p>
      <w:r>
        <w:t>FR: GE_GERICHTE ATAS/351/2015 du 12 mai 2015</w:t>
      </w:r>
    </w:p>
    <w:p>
      <w:r>
        <w:t>IT: GE_GERICHTE ATAS/351/2015 del 12 maggio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A/1289/2015 - 5/7 -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prévus par la loi, le recours est recevable (art. 56 et 60 LPGA; art. 89B loi sur la procédure administrative du 12 septembre 1985, LPA - RSG E 5 10).</w:t>
      </w:r>
    </w:p>
    <w:p>
      <w:r>
        <w:rPr>
          <w:b/>
        </w:rPr>
        <w:t>E. 3</w:t>
      </w:r>
    </w:p>
    <w:p>
      <w:r>
        <w:t>La chambre de céans doit se prononcer sur le bien-fondé de la décision incidente sur opposition de la caisse rejetant la requête de l'assuré tendant au rétablissement de l’effet suspensif.</w:t>
      </w:r>
    </w:p>
    <w:p>
      <w:r>
        <w:rPr>
          <w:b/>
        </w:rPr>
        <w:t>E. 4</w:t>
      </w:r>
    </w:p>
    <w:p>
      <w:r>
        <w:t>a) 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En effet, ne peuvent être éteintes par compensation les créances dont la nature spéciale exigent le paiement effectif entre les mains du créancier, telles que des aliments ou le salaire absolument nécessaires à l'entretien du débiteur et de sa famille (ATF 108 V 47 consid. 2). Pour le calcul du minimum vital de l'assuré, il y a lieu d'appliquer les règles du droit des poursuites (ATF 131 V 252 consid. 1.2). Ces règles sont aussi valables en cas de comportement fautif de la personne tenue à restituer les prestations (ATF 131 V 249 consid. 3). Pour fixer le montant saisissable au sens de l'art. 93 LP relatif à la saisie des rentes notamment,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(NI-2014;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ajoutés à cette base mensuelle d'entretien, pour autant qu'elles soient effectivement payées (Ochsner, in CR-LP, n° 82 ad art. 93 LP).</w:t>
      </w:r>
    </w:p>
    <w:p>
      <w:r>
        <w:t>A/1289/2015 - 6/7 - b)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La possibilité de retirer l'effet suspensif au recours ou à l'opposition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119 V 503 consid. 4; ATF 105 V 266 consid. 3 ; Arrêt du Tribunal fédéral des assurances I 63/05 du 14 novembre 2005 consid. 5.3).</w:t>
      </w:r>
    </w:p>
    <w:p>
      <w:r>
        <w:rPr>
          <w:b/>
        </w:rPr>
        <w:t>E. 5</w:t>
      </w:r>
    </w:p>
    <w:p>
      <w:r>
        <w:t>En l'espèce, la caisse n'a pas démontré son intérêt à procéder immédiatement à la compensation. Contrairement à ce qu'elle allègue, ses intérêts n'apparaissent pas gravement menacés, en cas de restitution de l'effet suspensif, dès lors que la compensation prononcée porte sur la rente AVS de l'assuré, qu'il touche mensuellement et sur le long terme. L'intérêt du recourant à disposer de sa rente AVS l'emporte ainsi sur celui de la caisse à compenser immédiatement le montant de sa créance.</w:t>
      </w:r>
    </w:p>
    <w:p>
      <w:r>
        <w:rPr>
          <w:b/>
        </w:rPr>
        <w:t>E. 6</w:t>
      </w:r>
    </w:p>
    <w:p>
      <w:r>
        <w:t>Il se justifie par conséquent d'admettre la demande de restitution de l'effet suspensif.</w:t>
      </w:r>
    </w:p>
    <w:p>
      <w:r>
        <w:t>A/1289/2015 - 7/7 -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