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ATAS/351/2013 vom 16. April 2013</w:t>
      </w:r>
    </w:p>
    <w:p>
      <w:r>
        <w:t>GE Cour de justice, 2013-04-16, FR</w:t>
      </w:r>
    </w:p>
    <w:p>
      <w:r>
        <w:rPr>
          <w:b/>
        </w:rPr>
        <w:t xml:space="preserve">Quelle: </w:t>
      </w:r>
      <w:r>
        <w:t>https://mcp.opencaselaw.ch/entscheid/ge_gerichte_ATAS_351_2013</w:t>
      </w:r>
    </w:p>
    <w:p>
      <w:r>
        <w:t>FR: GE_GERICHTE ATAS/351/2013 du 16 avril 2013</w:t>
      </w:r>
    </w:p>
    <w:p>
      <w:r>
        <w:t>IT: GE_GERICHTE ATAS/351/2013 del 16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A/2266/2012 - 11/20 -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a) Le litige porte sur l'amélioration de l'état de santé de l'assurée dès le 1er septembre 2010 et sa capacité de travail dans une activité adaptée depuis lors et, singulièrement, sur le droit de l'OAI de supprimer la rente entière d'invalidité dès le 1er décembre 2010. b) La recourante a renoncé à invoquer un déni de justice suite à la notification irrégulière de la décision - émanant de la caisse AVS et non pas de l'OAI et sans motivation s'agissant de la "suppression" de la rente - eu égard à la recevabilité de son recours, déposé le 23 juillet 2012, dès lors que l'OAI a finalement notifié une copie de la décision le 19 juillet 2012 et une décision en bonne et due forme le 15 août 2012.</w:t>
      </w:r>
    </w:p>
    <w:p>
      <w:r>
        <w:rPr>
          <w:b/>
        </w:rPr>
        <w:t>E. 6</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w:t>
      </w:r>
    </w:p>
    <w:p>
      <w:r>
        <w:t>A/2266/2012 - 12/20 -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A/2266/2012 - 13/20 -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comparaison des revenus s'effectue, en règle ordinaire, en chiffrant aussi exactement que possible les montants de ces deux revenus et en les confrontant l'un</w:t>
      </w:r>
    </w:p>
    <w:p>
      <w:r>
        <w:t>A/2266/2012 - 14/20 -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w:t>
      </w:r>
    </w:p>
    <w:p>
      <w:r>
        <w:t>A/2266/2012 - 15/20 -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10</w:t>
      </w:r>
    </w:p>
    <w:p>
      <w:r>
        <w:t>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w:t>
      </w:r>
    </w:p>
    <w:p>
      <w:r>
        <w:t>A/2266/2012 - 16/20 -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11</w:t>
      </w:r>
    </w:p>
    <w:p>
      <w:r>
        <w:t>Le revenu sans invalidité a été correctement établi par l'OAI. En effet, la recourante était régulièrement salariée depuis 2000 par la même entreprise, qui a attesté qu’en 2009, son salaire était fixé à 3'979 fr. par mois, 13 fois l’an, soit 51'727 fr. Il était fixé à 3'694 fr. en 2006, 3'794 fr. en 2007 et 3'934 fr. en 2008. Le fait que, durant la seule année 2008, l’assurée ait eu un salaire plus important durant les mois d’avril à août 2008 ne permet pas de retenir que le salaire était variable. Par ailleurs, il n’y a pas lieu de se fonder sur les grilles salariales ressortant d’une convention collective, fut-elle obligatoire à l’égard de l’employeur, pour déterminer le salaire sans invalidité. En effet, ce dernier correspond à ce que l’assuré aurait réellement pu obtenir au moment déterminant s’il n’était pas invalide. En l’espère, l’assurée aurait continué à percevoir le salaire contractuellement convenu, même s’il est en dessous de celui de la CCT, car elle ne rend pas vraisemblable qu’elle avait l’intention, en 2009, d’assigner son employeur devant les Prud’hommes pour obtenir l’application de cette convention collective et, corolairement, l’augmentation de son salaire. En 2009 donc, le salaire sans invalidité était de 51'727 fr. Il n’a pas été établi par l'OAI quel aurait été ce salaire, en 2011, dans l’entreprise en question.</w:t>
      </w:r>
    </w:p>
    <w:p>
      <w:r>
        <w:t>S’agissant du revenu avec invalidité, l’importance des limitations fonctionnelles de l’assurée, qui touchent les deux épaules, les deux coudes et les deux mains, sans compter le dos, ne permettent pas de retenir, au degré de la vraisemblance prépondérante, qu’elle serait en mesure d’effectuer la plupart des métiers ressortant des ESS, TA1, en général, compte tenu de la description de son activité habituelle, qui est retenue comme n'étant pas adaptée. C'est pourtant sur cette base que l'OAI a fixé un taux d'invalidité de 14% qui exclurait selon lui toute mesure professionnelle. D'une part, le taux d'invalidité doit être fixé après détermination des activités que l'assurée est effectivement en mesure de faire. D'autre part, l'orientation professionnelle et les autres mesures professionnelles, outre le reclassement, n'exigent pas un taux d'invalidité de 20%. Aucun élément du dossier ne permet de retenir que l'assurée ne serait pas motivée pour une telle mesure, au contraire. Lors de sa demande initiale, elle a clairement indiqué vouloir travailler et non pas "être à l'AI". Elle a elle-même pris contact avec l'école dans laquelle elle a suivi des cours durant la mesure de réadaptation et l'incapacité de suivre pleinement la mesure en raison de l'aggravation des douleurs correspond à l'aggravation transitoire de mars 2010. En admettant que l'assurée puisse exercer, à mi-temps, les activités fondant les salaires ressortant de l'ESS en général, il convient alors, conformément aux chiffres</w:t>
      </w:r>
    </w:p>
    <w:p>
      <w:r>
        <w:t>A/2266/2012 - 19/20 - retenus par le Service de la réadaptation en février 2011, de se fonder sur l’ESS 2008, pour 41.6 heures de travail, réévalué en 2009. Ce salaire de 52'457 fr. à 50 % avec l’abattement retenu de 15 % détermine un revenu avec invalidité de 22'294 fr.. Comparé au salaire de l'assurée en 2009 de 51'727 fr, il détermine un taux d’invalidité de 56,9 %.</w:t>
      </w:r>
    </w:p>
    <w:p>
      <w:r>
        <w:t>Ainsi, la cause doit être renvoyée à l'OAI afin d'examiner - en interpellant d'abord le Dr L__________ - quelle a été l'évolution de la capacité de travail dès le début de l'année 2011, si l'état de santé est stabilisé ou si une amélioration est encore possible, voire si la capacité de travail résiduelle à 50% s'est maintenue ou si elle s'est modifiée. Si l'état est stabilisé et qu'une capacité résiduelle existe, il convient de déterminer quelles activités sont adaptées aux limitations, avant de décider si et quelles mesures professionnelles sont nécessaires, à défaut, fixer le taux d'invalidité au-delà du 30 novembre 2010 et les rentes dues en conséquence.</w:t>
      </w:r>
    </w:p>
    <w:p>
      <w:r>
        <w:rPr>
          <w:b/>
        </w:rPr>
        <w:t>E. 12</w:t>
      </w:r>
    </w:p>
    <w:p>
      <w:r>
        <w:t>Ainsi, la décision de suppression définitive de toute rente d'invalidité dès le 1er décembre 2010 n'est pas fondée, à défaut l'amélioration durable de l'état de santé de l'assurée, la pleine capacité de travail de l'assurée dans une activité adaptée n'étant plus établie au-delà de janvier 2011. La cause sera donc renvoyée à l'OAI pour instruction complémentaire conformément à ce qui précède. A noter encore que la rente de veuve est supérieure à la rente entière d'invalidité et que le cumul est exclu par la loi. Ainsi, l'annulation de la décision de "suppression" de la rente d'invalidité au-delà du 30 novembre 2010 n'a pas de conséquence pécuniaire directe. Toutefois, la durée du droit à cette rente entière, puis après une éventuelle interruption de quelques mois, l'octroi d'une demi-rente ou d'une rente entière restent déterminants, eu égard notamment aux droits éventuels de l'assurée à des prestations complémentaires à l'assurance-invalidité.</w:t>
      </w:r>
    </w:p>
    <w:p>
      <w:r>
        <w:rPr>
          <w:b/>
        </w:rPr>
        <w:t>E. 14</w:t>
      </w:r>
    </w:p>
    <w:p>
      <w:r>
        <w:t>Au vu de ce qui précède, le recours sera admis et la décision du 17 novembre 2011 sera annulée. La recourante obtenant gain de cause, une indemnité de 3'500 fr. lui sera accordée à titre de participation à ses frais et dépens, afin de tenir compte du nombre d'écritures et autres actes de procédure de son conseil, y compris s'agissant de l'irrégularité - reconnue par la caisse - de la décision du 17 novembre 2011 (art. 61 let. g LPGA). Etant donné que, depuis le 1er juillet 2006, la procédure n'est plus gratuite (art. 69 al. 1bis LAI), au vu du sort du recours, il y a lieu de condamner l'intimé au paiement d'un émolument de 200 fr.</w:t>
      </w:r>
    </w:p>
    <w:p>
      <w:r>
        <w:t>A/2266/2012 - 20/20 -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