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ATAS/351/2008 vom 25. März 2008</w:t>
      </w:r>
    </w:p>
    <w:p>
      <w:r>
        <w:t>GE Cour de justice, 2008-03-25, FR</w:t>
      </w:r>
    </w:p>
    <w:p>
      <w:r>
        <w:rPr>
          <w:b/>
        </w:rPr>
        <w:t xml:space="preserve">Quelle: </w:t>
      </w:r>
      <w:r>
        <w:t>https://mcp.opencaselaw.ch/entscheid/ge_gerichte_ATAS_351_2008</w:t>
      </w:r>
    </w:p>
    <w:p>
      <w:r>
        <w:t>FR: GE_GERICHTE ATAS/351/2008 du 25 mars 2008</w:t>
      </w:r>
    </w:p>
    <w:p>
      <w:r>
        <w:t>IT: GE_GERICHTE ATAS/351/2008 del 25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A/3058/2007 - 9/14 - Sa compétence pour juger du cas d’espèce est ainsi établie.</w:t>
      </w:r>
    </w:p>
    <w:p>
      <w:r>
        <w:rPr>
          <w:b/>
        </w:rPr>
        <w:t>E. 2</w:t>
      </w:r>
    </w:p>
    <w:p>
      <w:r>
        <w:t>La LPGA, entrée en vigueur le 1er janvier 2003, est applicable au cas d'espèce.</w:t>
      </w:r>
    </w:p>
    <w:p>
      <w:r>
        <w:rPr>
          <w:b/>
        </w:rPr>
        <w:t>E. 3</w:t>
      </w:r>
    </w:p>
    <w:p>
      <w:r>
        <w:t>Déposé dans les forme et délai prévus par la loi, le présent recours est recevable (art. 56 et ss LPGA).</w:t>
      </w:r>
    </w:p>
    <w:p>
      <w:r>
        <w:rPr>
          <w:b/>
        </w:rPr>
        <w:t>E. 4</w:t>
      </w:r>
    </w:p>
    <w:p>
      <w:r>
        <w:t>Le litige porte sur le point de savoir si les atteintes à la santé dont souffre la recourante ouvrent droit à des prestations de l'assurance-invalidité.</w:t>
      </w:r>
    </w:p>
    <w:p>
      <w:r>
        <w:rPr>
          <w:b/>
        </w:rPr>
        <w:t>E. 5</w:t>
      </w:r>
    </w:p>
    <w:p>
      <w:r>
        <w:t>Aux termes des art. 8 al. 1 LPGA et 4 al. 1 LAI, est réputée invalidité l’incapacité de gain totale ou partielle qui est présumée permanente ou de longue durée et résultant d'une infirmité congénitale, d'une maladie ou d'un accident.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Selon l'art. 8 LAI (dans sa version en vigueur dès le 1er janvier 2004),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(art. 6 LPGA).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w:t>
      </w:r>
    </w:p>
    <w:p>
      <w:r>
        <w:t>A/3058/2007 - 10/14 -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ces données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sauraient suffire pour justifier une invalidité. Dans le cadre de l'examen du droit aux prestations de l'assurance-sociale, l'allégation de douleurs doit être confirmée par des observations médicales concluantes, à défaut de quoi une appréciation de ce droit aux prestations ne peut être assurée de manière conforme à l'égalité de traitement des assurés. Elle doit également faire l'objet d'un diagnostic posé dans le cadre d'une classification reconnue (ATF 130 V 353 consid. 2.2.2 ; ATFA du 30 novembre 2004, I 600/03,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t>A/3058/2007 - 11/14 - En principe, le juge ne s'écarte pas sans motifs impératifs des conclusions d'une expertise médicale,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Dans sa décision litigieuse, l'intimé a retenu que les atteintes dont souffre la recourante n'ont, dès le 1er avril 2004, pas de répercussion sur sa capacité de travail. Il se fonde pour cela sur les conclusions des Drs E__________ et F__________ du SMR. Pour sa part, la recourante soutient qu'elle est incapable de travailler à 50%, en se fondant sur les avis des Drs A__________, B__________ et H__________.</w:t>
      </w:r>
    </w:p>
    <w:p>
      <w:r>
        <w:rPr>
          <w:b/>
        </w:rPr>
        <w:t>E. 8</w:t>
      </w:r>
    </w:p>
    <w:p>
      <w:r>
        <w:t>S'agissant des atteintes à la santé dont souffre la recourante à sa colonne cervicale, force est de constater que les avis des médecins divergent. Ainsi, le Dr B__________, neurochirurgien, conclut à une probable insuffisance ligamentaire en C5-C6 (rapports des 21 juin 2004, 5 et 29 avril 2005), alors que pour le Dr A__________, spécialiste en médecine interne et maladies rhumatismales, s'il existe certes une discrète instabilité en C5-C6, l'instabilité évoquée par le Dr B__________ n'a cependant pas été prouvée de manière irréfutable (rapport du 25 avril 2005). Selon le Dr I_________, spécialiste en neurologie, et le Dr E__________, spécialiste en médecine interne et rhumatologie, il n'y a pas d'instabilité (rapport du 17 janvier 2005 et 25 mars 2007). Le 30 juillet 2007, un nouveau bilan radiologique a été effectué à la demande du Dr H__________, neurochirurgien, confirmant l'existence d'une rupture d'axe en C5- C6 essentiellement, et dans une moindre mesure en C6-C7 (rapport du 3 août 2007). Pour le Dr A__________, ces nouveaux examens radiologiques montrent clairement des signes d'instabilité cervicale C5-C6 (attestation du 6 août 2007).</w:t>
      </w:r>
    </w:p>
    <w:p>
      <w:r>
        <w:t>A/3058/2007 - 12/14 -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 En l'espèce, il convient de relever que quand bien même une rupture d'axe en C5- C6 a été constatée radiologiquement après la date à laquelle la décision litigieuse a été rendue, soit le 17 juillet 2007, il n'en demeure pas moins que cette atteinte, dont l'existence avait été jugée comme probable par le Dr B__________, déjà en date du 21 juin 2004, doit être prise en compte dans le cadre de la présente procédure. A cet égard, le Dr H__________ a également expliqué que le bilan radiologique effectué le 30 juillet 2007 confirmait l'impression décrite précédemment par le Dr B__________ (rapport du 3 août 2007). Compte tenu de ce qui précède, et dans la mesure où le diagnostic d'instabilité ligamentaire a été expressément écarté par les médecins du SMR et le Dr C__________, leurs conclusions quant à la capacité de travail de la recourante ne peuvent être dès lors suivies. On ne saurait, au demeurant, accorder un poids décisif à l'avis du Dr C__________, lequel s'est déterminé dans le cadre de l'assurance- accidents, sans se prononcer sur les limitations fonctionnelles et la capacité résiduelle présentées par la recourante. Le Tribunal de céans constate par ailleurs que les avis des autres médecins consultés par la recourante ne permettent pas non plus de tirer des conclusions claires quant à sa capacité de travail dans sa profession habituelle, d'une part, et dans une activité adaptée, d'autre part. Aussi l'avis du Dr B__________ ne saurait-il valablement fonder une exigibilité à 50% dans une activité adaptée. En effet, on peine à comprendre les motifs pour lesquels ce praticien retient que la recourante avait une capacité de travail de 50% dans une activité adaptée, seulement depuis le 1er mai 2005, alors que dans son activité habituelle, et compte tenu de ses limitations, une telle capacité existait déjà depuis le 1er janvier 2005 (rapport du 29 avril 2005). Le Dr H__________ ne s'est quant à lui pas prononcé sur la capacité de travail de la recourante. Enfin, le Dr A__________ étant le médecin traitant de la recourante, il n'est pas possible de statuer sur la base de ses seules constatations et conclusions.</w:t>
      </w:r>
    </w:p>
    <w:p>
      <w:r>
        <w:t>A/3058/2007 - 13/14 -</w:t>
      </w:r>
    </w:p>
    <w:p>
      <w:r>
        <w:rPr>
          <w:b/>
        </w:rPr>
        <w:t>E. 9</w:t>
      </w:r>
    </w:p>
    <w:p>
      <w:r>
        <w:t>Compte tenu de ce qui précède, la question des répercussions qu'entraînent les troubles dont souffre la recourante sur sa capacité de travail dans son activité habituelle et dans une activité adaptée, n'apparaît pas suffisamment éclaircie. A défaut d'informations fiables et suffisantes sur ces points, le Tribunal de céans ne peut donc se prononcer sur le droit de la recourante à des prestations de l'assurance- invalidité en raison de ses atteintes à la santé. Le juge cantonal qui estime que les faits ne sont pas suffisamment élucidés a en principe le choix entre deux X__________: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(DTA 2001 p. 169). Il y a lieu en l'occurrence de renvoyer la cause à l'intimé pour instruction complémentaire sous la forme d'une expertise indépendante effectuée par le Centre d'observation médicale de l'assurance-invalidité (COMAI) et nouvelle décision. Il incombera aux médecins de fournir tous les éléments permettant de déterminer avec précision l'incidence des troubles sur la capacité de travail de la recourante. Enfin, le cas échéant, l'intimé soumettra cette dernière à un stage d'observation professionnelle afin de déterminer précisément et concrètement quelles sont les activités adaptées à ses limitations fonctionnelles et s'il y a d'éventuelles mesures de réadaptation professionnelle à envisager.</w:t>
      </w:r>
    </w:p>
    <w:p>
      <w:r>
        <w:rPr>
          <w:b/>
        </w:rPr>
        <w:t>E. 10</w:t>
      </w:r>
    </w:p>
    <w:p>
      <w:r>
        <w:t>Le recours est par conséquent admis.</w:t>
      </w:r>
    </w:p>
    <w:p>
      <w:r>
        <w:rPr>
          <w:b/>
        </w:rPr>
        <w:t>E. 11</w:t>
      </w:r>
    </w:p>
    <w:p>
      <w:r>
        <w:t>Un émolument de 200 fr. est mis à la charge de l'intimé, le présent recours ayant été interjeté après l'entrée en vigueur, le 1er juillet 2006, de l'art. 69 al. 1bis LAI (cf. chiffre II des dispositions transitoires de la modification du 16 décembre 2005).</w:t>
      </w:r>
    </w:p>
    <w:p>
      <w:r>
        <w:t>A/3058/2007 - 14/14 -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