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ATAS/350/2020 vom 6. Mai 2020</w:t>
      </w:r>
    </w:p>
    <w:p>
      <w:r>
        <w:t>GE Cour de justice, 2020-05-06, FR</w:t>
      </w:r>
    </w:p>
    <w:p>
      <w:r>
        <w:rPr>
          <w:b/>
        </w:rPr>
        <w:t xml:space="preserve">Quelle: </w:t>
      </w:r>
      <w:r>
        <w:t>https://mcp.opencaselaw.ch/entscheid/ge_gerichte_ATAS_350_2020</w:t>
      </w:r>
    </w:p>
    <w:p>
      <w:r>
        <w:t>FR: GE_GERICHTE ATAS/350/2020 du 6 mai 2020</w:t>
      </w:r>
    </w:p>
    <w:p>
      <w:r>
        <w:t>IT: GE_GERICHTE ATAS/350/2020 del 6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compte tenu de la suspension des délais pour la</w:t>
      </w:r>
    </w:p>
    <w:p>
      <w:r>
        <w:t>A/2771/2019 - 9/22 - période du 15 juillet au 15 août inclusivement (art. 38 al. 4 let. b LPGA et art. 89C let. b LPA), le recours est recevable (art. 56 ss LPGA et 62 ss LPA).</w:t>
      </w:r>
    </w:p>
    <w:p>
      <w:r>
        <w:rPr>
          <w:b/>
        </w:rPr>
        <w:t>E. 3</w:t>
      </w:r>
    </w:p>
    <w:p>
      <w:r>
        <w:t>Le litige porte sur le droit de la recourante à une rente d'invalidité, subsidiairement à des mesures de réadaptation.</w:t>
      </w:r>
    </w:p>
    <w:p>
      <w:r>
        <w:rPr>
          <w:b/>
        </w:rPr>
        <w:t>E. 4</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w:t>
      </w:r>
    </w:p>
    <w:p>
      <w:r>
        <w:t>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w:t>
      </w:r>
    </w:p>
    <w:p>
      <w:r>
        <w:t>A/2771/2019 - 10/22 -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Dans un arrêt du 3 juin 2015 publié aux ATF 141 V 281, le Tribunal fédéral a considéré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6</w:t>
      </w:r>
    </w:p>
    <w:p>
      <w:r>
        <w:t>a.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w:t>
      </w:r>
    </w:p>
    <w:p>
      <w:r>
        <w:t>A/2771/2019 - 11/22 -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A/2771/2019 - 12/22 -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A/2771/2019 - 15/22 -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le Tribunal fédéral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8C_227/2017 du 17 mai 2018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w:t>
      </w:r>
    </w:p>
    <w:p>
      <w:r>
        <w:t>A/2771/2019 - 16/22 -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Une déduction maximale ne se justifie que lorsque plusieurs des éléments retenus par la jurisprudence se trouvent réunis chez un assuré (arrêt du Tribunal fédéral des assurances U 311/02 du 4 février 2003 consid. 4.3).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A/2771/2019 - 13/22 - fédérale de la Confédération suisse du 18 avril 1999 (RS 101 - Cst; SVR 2001 IV n. 10 p. 28 consid. 4b), la jurisprudence rendue sous l’empire de l’art. 4 aCst. étant toujours valable (ATF 124 V 90 consid. 4b; ATF 122 V 157 consid. 1d).</w:t>
      </w:r>
    </w:p>
    <w:p>
      <w:r>
        <w:rPr>
          <w:b/>
        </w:rPr>
        <w:t>E. 10</w:t>
      </w:r>
    </w:p>
    <w:p>
      <w:r>
        <w:t>a. Dans la sphère professionnelle,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w:t>
      </w:r>
    </w:p>
    <w:p>
      <w:r>
        <w:t>A/2771/2019 - 14/22 - santé n'existe plus au moment déterminant de l'évaluation de l'invalidité (arrêts du Tribunal fédéral des assurances I 168/05 du 24 avril 2006 consid. 3.3 et B 80/01 du 17 octobre 2003 consid. 5.2.2). c.a.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w:t>
      </w:r>
    </w:p>
    <w:p>
      <w:r>
        <w:rPr>
          <w:b/>
        </w:rPr>
        <w:t>E. 11</w:t>
      </w:r>
    </w:p>
    <w:p>
      <w:r>
        <w:t>a.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b.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w:t>
      </w:r>
    </w:p>
    <w:p>
      <w:r>
        <w:t>A/2771/2019 - 17/22 -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S’agissant du revenu avec invalidité, il continue à être fixé, comme avant, en fonction du pourcentage d’activité de la personne assurée avant son invalidité (voir arrêt du Tribunal fédéral 9C_34/2016 du 14 septembre 2016 consid. 3). c.a.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La mise en oeuvre d'une enquête ménagère en cas de statut mixte n'est toutefois pas imposée par le droit fédéral (arrêt I 99/00 du 26 octobre 2000 consid. 3c in VSI 2001 p. 155). Il n'y a pas lieu de procéder à un acte administratif qu'une appréciation anticipée des preuves désigne clairement comme inutile (9C_103/2010 2 du septembre 2010). c.b.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c.c.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w:t>
      </w:r>
    </w:p>
    <w:p>
      <w:r>
        <w:t>A/2771/2019 - 18/22 -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LAI), la personne assurée est notamment tenue d’adopter une méthode de travail adéquate, de répartir son travail en conséquence et de demander l’aide de ses proches dans une mesure convenable (ATF 133 V 504 consid. 4.2 et les références citées). c.d.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12</w:t>
      </w:r>
    </w:p>
    <w:p>
      <w:r>
        <w:t>En l’espèce, le Dr D______, spécialiste en rhumatologie, a, sur la base d’un examen de la recourante, posé le diagnostic avec répercussion sur la capacité de travail de lombalgie chronique dans un rapport détaillé du 25 mai 2018. Il a constaté qu’il y avait une diminution du seuil douloureux avec onze points de fibromyalgie douloureux sur dix-huit et des signes comportementaux de la douleur de Waddell et de Kummel, sans poser le diagnostic de fibromyalgie. Dans la mesure où il a examiné expressément cette problématique, l’on peut éventuellement admettre qu’il a considéré que les conditions pour retenir le diagnostic de fibromyalgie, qui relève de sa spécialité, n’étaient pas réunies. Dans la mesure toutefois où la présente cause sera renvoyée à l’intimé, pour les motifs qui seront développés ci-après, il conviendra de demander au Dr D______ pour quels motifs il n’a pas retenu le diagnostic de fibromyalgie et de confirmer, ou pas, qu’il n’y avait pas lieu de le poser. Il devra préciser également à partir de quand une activité dans une activité adaptée pouvait être exigée de la recourante. En effet, son rapport ne le précise pas et le SMR a retenu la date du 27 novembre 2017, ce qui paraît contestable à teneur des pièces du dossier. Le Dr D______ a indiqué le 25 mai 2018 qu’il estimait difficile de se prononcer de façon définitive sur la capacité de travail après une seule consultation, mais qu’il</w:t>
      </w:r>
    </w:p>
    <w:p>
      <w:r>
        <w:t>A/2771/2019 - 19/22 - pensait toutefois que l’assurée avait une incapacité de travail de 50% probablement, sur la base des lésions décrites à l’IRM lombaire, lesquelles n’expliquaient toutefois pas toutes ses plaintes. Une partie des douleurs était favorisée par une diminution du seuil de la douleur. Dans une activité professionnelle adaptée (pas de mouvements répétés de la colonne lombaire, pas d’attitude statique en position debout/en porte-à-faux lombaire, pas de port de charges lourdes), la capacité de travail paraissait plus probablement complète. Cette appréciation médicale est convaincante, malgré les réserves émises par le Dr D______ s’agissant de la capacité de travail de l’assurée, dès lors qu’il a bien motivé son rapport. Elle a été confirmée par le Dr F______ le 28 juin 2018 et le Dr G______ le 11 février 2019. L’appréciation du Dr D______ n’est pas sérieusement remise en cause par les rapports établis les 13 avril et 28 décembre 2018 et le 10 mai 2019 par la Dresse E______, spécialiste en médecine interne, dès lors que ceux-ci sont brefs et peu motivés, étant relevé que cette dernière avait elle-même adressé l’assurée au Dr D______, reconnaissant ainsi que celui-ci était plus à même d’apprécier son état de santé, en raison de sa spécialité de rhumatologue. L’appréciation du Dr D______ n’est enfin pas non plus remise en cause par le rapport établi le 2 septembre 2019 par le Dr I______, également spécialisé en médecine interne, qui ne se prononçait pas sur la capacité de travail de la recourante et qui avait conseillé à celle-ci de revoir le Dr D______. Cela étant, le fait que la Dresse E______ ait prescrit une psychothérapie le 29 mars 2019 - ce dont la recourante a informé l’intimé dans son opposition au projet de décision - n’est pas anodin dès lors qu’une partie de ses douleurs est favorisée par une diminution du seuil de la douleur, selon le rapport du Dr D______ du 25 mai 2018. L’intimé aurait dû instruire la question d’un éventuel trouble somatoforme douloureux et, à tout le moins, demander un rapport à la psychiatre de la recourante.</w:t>
      </w:r>
    </w:p>
    <w:p>
      <w:r>
        <w:rPr>
          <w:b/>
        </w:rPr>
        <w:t>E. 13</w:t>
      </w:r>
    </w:p>
    <w:p>
      <w:r>
        <w:t>a. La recourante estime que le salaire avec invalidité a été surévalué par l’intimé, qui aurait dû se référer, dans le tableau TA1, au domaine d’activité précis entrant en ligne de compte pour elle, plutôt qu’à la moyenne de toutes les activités de niveau 1 pour une femme. b. Selon la jurisprudence, lorsque la personne assurée n'a pas repris d'activité, le revenu d'invalide doit en principe être évalué sur la médiane ou valeur centrale des salaires mensuels indiqués dans la table ESS TA1, à la ligne « total secteur privé ». Celle-ci s'applique à tous les personnes assurées qui ne peuvent plus accomplir leur ancienne activité parce qu'elle est physiquement trop astreignante pour leur état de santé, mais qui conservent néanmoins une capacité de travail importante dans des travaux légers, ce qui est le cas de la recourante. C’est donc à juste titre que l’intimé a fixé le revenu avec invalidité de celle-ci sur la moyenne de toutes les activités de niveau 1 pour une femme.</w:t>
      </w:r>
    </w:p>
    <w:p>
      <w:r>
        <w:t>A/2771/2019 - 20/22 -</w:t>
      </w:r>
    </w:p>
    <w:p>
      <w:r>
        <w:rPr>
          <w:b/>
        </w:rPr>
        <w:t>E. 14</w:t>
      </w:r>
    </w:p>
    <w:p>
      <w:r>
        <w:t>a. La recourante a fait valoir qu’un abattement de 15% aurait dû être opéré sur le revenu avec invalidité, au motif qu’elle était âgée de 53 ans, qu’elle avait de nombreuses années de service dans le domaine du nettoyage, que seules des activités légères lui étaient possibles, qu’elle avait des limitations fonctionnelles et de multiples atteintes, que son taux d’activité était à temps partiel uniquement et que son niveau de formation était réduit. b. L’intimé a correctement retenu un abattement de 10% pour tenir compte des limitations fonctionnelles de la recourante. Il n’y a pas lieu de retenir une réduction pour temps partiel, dès lors qu’une activité adaptée aux limitations fonctionnelles est exigible d’elle à 100%. Les autres facteurs permettant un abattement supplémentaire ne sont pas réalisés. L’âge de la recourante au moment déterminant pour le droit à une rente (51 ans), son manque de formation et ses années de service dans le nettoyage ne constituent pas des facteurs susceptibles de jouer un rôle significatif sur ses perspectives salariales s’agissant d’activités simples et répétitives de niveau de compétence 1.</w:t>
      </w:r>
    </w:p>
    <w:p>
      <w:r>
        <w:rPr>
          <w:b/>
        </w:rPr>
        <w:t>E. 15</w:t>
      </w:r>
    </w:p>
    <w:p>
      <w:r>
        <w:t>Le calcul du taux d’invalidité effectué par l’intimé est erroné, dès lors qu’il n’avait pas à prendre en considération, pour fixer le revenu avec invalidité, le salaire ESS à 100%, mais qu’il devait seulement retenir le 45% de ce salaire, correspondant aux taux d’activité de la recourante dans son activité habituelle avant l’atteinte à la santé. Selon le nouveau calcul à effectuer depuis janvier 2018 pour fixer le taux d’invalidité dans la part professionnelle d’un statut mixte, c’est uniquement le revenu sans invalidité qui doit être pris en compte à 100% et non le revenu avec invalidité (art. 27bis al. 3 let. a RAI). Il en résulte que le taux d’invalidité de la recourante dans la sphère professionnelle est plus élevé que celui retenu par l’intimé, soit de 64% et de 28,8% après pondération en tenant compte de la sphère des travaux ménagers. Il convient encore de relever que l’intimé a calculé le taux d’invalidité en prenant en compte comme année déterminante 2017 alors qu’il aurait dû prendre l’année 2018, puisque le droit à une rente ne pouvait naître avant le 21 novembre 2018, soit à l’échéance du délai d’attente d’un an (art. 28 al. 1 let. c LAI).</w:t>
      </w:r>
    </w:p>
    <w:p>
      <w:r>
        <w:rPr>
          <w:b/>
        </w:rPr>
        <w:t>E. 16</w:t>
      </w:r>
    </w:p>
    <w:p>
      <w:r>
        <w:t>a. La recourante a encore fait valoir que l’OAI aurait dû fonder sa décision sur une enquête ménagère pour quantifier l’ampleur des limitations dans la tenue du ménage, précisant qu’elle était très limitée dans ses tâches ménagères ; elle avait des difficultés à cuisiner, à passer l’aspirateur, à s’occuper de son linge et à faire des courses. Par ailleurs, dans son activité professionnelle d’aide-ménagère, l’intimé lui reconnaissait une incapacité de travail de 50%. Le taux d’invalidité dans la sphère ménagère était donc de 50% au minimum. L’intimé a considéré qu’il n’était pas nécessaire de procéder à une enquête économique sur le ménage, car les empêchements rencontrés par l’assurée dans la tenue de son ménage n’étaient pas notables, vu l’exigibilité de 100% dans une activité adaptée à la fin du délai d’attente.</w:t>
      </w:r>
    </w:p>
    <w:p>
      <w:r>
        <w:t>A/2771/2019 - 21/22 - b. Il n’est pas contestable que la recourante est limitée physiquement en raison de son état de santé et que cela a sans doute des répercussions sur sa capacité à faire ses travaux ménagers, dès lors qu’elle ne peut pas faire de mouvements répétés de la colonne lombaire, ni porter des charges lourdes. Même si l’on ne peut pas se référer au taux d’invalidité de 50% retenu par le Dr D______ pour l’activité habituelle de femme de ménage de la recourante pour établir ses empêchements dans la sphère des travaux ménagers, puisque, chez elle, elle peut organiser son travail à sa guise et faire des pauses, ce qui n’est pas possible dans le domaine professionnel, il apparait possible que des empêchements soient retenus au terme d’une enquête à domicile. Par ailleurs, on ignore tout de l’aide exigible des membres de sa famille. Dans la mesure où un pourcentage limité d’empêchements est susceptible d’ouvrir à la recourante le droit à une rente d’invalidité, vu le taux d’invalidité de 28,8% dans la sphère professionnelle après pondération, une enquête à domicile n’apparaît pas d’emblée inutile en l’espèce.</w:t>
      </w:r>
    </w:p>
    <w:p>
      <w:r>
        <w:rPr>
          <w:b/>
        </w:rPr>
        <w:t>E. 17</w:t>
      </w:r>
    </w:p>
    <w:p>
      <w:r>
        <w:t>Le recours sera en conséquence partiellement admis, la décision querellée annulée et la cause renvoyée à l’intimé pour instruction complémentaire et nouveau calcul du taux d’invalidité au sens des considérants.</w:t>
      </w:r>
    </w:p>
    <w:p>
      <w:r>
        <w:rPr>
          <w:b/>
        </w:rPr>
        <w:t>E. 18</w:t>
      </w:r>
    </w:p>
    <w:p>
      <w:r>
        <w:t>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19</w:t>
      </w:r>
    </w:p>
    <w:p>
      <w:r>
        <w:t>Un émolument de CHF 500.- sera mis à la charge de l’intimé (art. 69 al. 1bis LAI).</w:t>
      </w:r>
    </w:p>
    <w:p>
      <w:r>
        <w:t>A/2771/2019 - 22/22 -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