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ATAS/350/2017 vom 27. April 2017</w:t>
      </w:r>
    </w:p>
    <w:p>
      <w:r>
        <w:t>GE Cour de justice, 2017-04-27, FR</w:t>
      </w:r>
    </w:p>
    <w:p>
      <w:r>
        <w:rPr>
          <w:b/>
        </w:rPr>
        <w:t xml:space="preserve">Quelle: </w:t>
      </w:r>
      <w:r>
        <w:t>https://mcp.opencaselaw.ch/entscheid/ge_gerichte_ATAS_350_2017</w:t>
      </w:r>
    </w:p>
    <w:p>
      <w:r>
        <w:t>FR: GE_GERICHTE ATAS/350/2017 du 27 avril 2017</w:t>
      </w:r>
    </w:p>
    <w:p>
      <w:r>
        <w:t>IT: GE_GERICHTE ATAS/350/2017 del 27 aprile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transmis à la juridiction compétente, le recours est recevable (art. 56V al. 1 let. a ch. 8 LOJ et 60 LPGA).</w:t>
      </w:r>
    </w:p>
    <w:p>
      <w:r>
        <w:rPr>
          <w:b/>
        </w:rPr>
        <w:t>E. 3</w:t>
      </w:r>
    </w:p>
    <w:p>
      <w:r>
        <w:t>Le litige se limite à la question du bien-fondé et de la durée de la sanction infligée à la recourante pour avoir fait défaut à un entretien de conseil, la décision de sanction relative à la remise tardive des recherches d’emploi d’octobre 2016 étant quant à elle entrée en force et ne pouvant désormais plus être contestée.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w:t>
      </w:r>
    </w:p>
    <w:p>
      <w:r>
        <w:t>A/20/2017 - 4/6 - précédemment (art. 17 al. 1 LACI). Selon l’art. 17 al. 3 let. b LACI, l’assuré a l’obligation, lorsque l’autorité compétente le lui enjoint, de participer aux entretiens de conseil, aux réunions d’information et aux consultations spécialisées.</w:t>
      </w:r>
    </w:p>
    <w:p>
      <w:r>
        <w:rPr>
          <w:b/>
        </w:rPr>
        <w:t>E. 5</w:t>
      </w:r>
    </w:p>
    <w:p>
      <w:r>
        <w:t>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w:t>
      </w:r>
    </w:p>
    <w:p>
      <w:r>
        <w:rPr>
          <w:b/>
        </w:rPr>
        <w:t>E. 6</w:t>
      </w:r>
    </w:p>
    <w:p>
      <w:r>
        <w:t>Selon l’art. 30 al. 3 LACI, la durée de la suspension est proportionnelle à la gravité de la faute. Ainsi, en cas de faute légère, la durée de la suspension est de un à quinze jours (a), en cas de faute de gravité moyenne, de seize à trente jours (b) et, en cas de faute grave, de trente et un à soixante jours (d ; cf. art. 45 al. 2 OACI). Selon le barème établi par le Secrétariat d’État à l’Économie (SECO), lorsque l’assuré ne se présente pas à un entretien de conseil ou à une séance d’information, sans aucun motif valable, la sanction se situe entre cinq et huit jours s’il s’agit du premier manquement, entre neuf et quinze jours lors du second manquement (Bulletin LACI du SECO, D 79). A cet égard, le Tribunal fédéral a jugé que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 Dans la cause susmentionnée, l'assuré avait oublié de se rendre à un entretien de conseil et s’en était excusé spontanément ; par ailleurs, il avait rempli de façon irréprochable ses obligations à l'égard de l'assurance-chômage durant les douze mois précédant cet oubli.</w:t>
      </w:r>
    </w:p>
    <w:p>
      <w:r>
        <w:rPr>
          <w:b/>
        </w:rPr>
        <w:t>E. 7</w:t>
      </w:r>
    </w:p>
    <w:p>
      <w:r>
        <w:t>En l’espèce, la situation n’est pas analogue, puisque la recourante s’est déjà vu reprocher un premier manquement. En l’occurrence, quoi que la recourante s’en défende, ses explications (oubli du délai de remise des recherches d’emploi, survol trop rapide de la convocation à l’entretien conseil) dénotent une négligence certaine de sa part dans le respect des obligations qui lui incombaient envers l’assurance-chômage.</w:t>
      </w:r>
    </w:p>
    <w:p>
      <w:r>
        <w:t>A/20/2017 - 5/6 - Au vu des circonstances, le comportement de la recourante ne saurait être qualifié d’irréprochable, si bien que la suspension du versement de son indemnité était justifiée. Quant à la quotité de la sanction infligée, elle n’est pas non plus sujette à critiques. On relèvera - même si la Cour de céans n’a à connaître que de la seconde sanction - que la première infligée (trois jours) était déjà inférieure au minimum prévu par le barème du SECO - qui prescrit une suspension de cinq à neuf jours en cas de remise tardive des recherches d’emploi. Il en va de même de la seconde sanction, de huit jours, puisque le SECO prévoit en un tel cas et en cas de second manquement, une suspension de neuf à quinze jours. La décision litigieuse est donc bien fondée et le recours rejeté.</w:t>
      </w:r>
    </w:p>
    <w:p>
      <w:r>
        <w:t>A/20/2017 - 6/6 -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