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ATAS/350/2013 vom 16. April 2013</w:t>
      </w:r>
    </w:p>
    <w:p>
      <w:r>
        <w:t>GE Cour de justice, 2013-04-16, FR</w:t>
      </w:r>
    </w:p>
    <w:p>
      <w:r>
        <w:rPr>
          <w:b/>
        </w:rPr>
        <w:t xml:space="preserve">Quelle: </w:t>
      </w:r>
      <w:r>
        <w:t>https://mcp.opencaselaw.ch/entscheid/ge_gerichte_ATAS_350_2013</w:t>
      </w:r>
    </w:p>
    <w:p>
      <w:r>
        <w:t>FR: GE_GERICHTE ATAS/350/2013 du 16 avril 2013</w:t>
      </w:r>
    </w:p>
    <w:p>
      <w:r>
        <w:t>IT: GE_GERICHTE ATAS/350/2013 del 16 aprile 2013</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et la LAI dans sa teneur au 31 décembre 2008 sont applicables.</w:t>
      </w:r>
    </w:p>
    <w:p>
      <w:r>
        <w:rPr>
          <w:b/>
        </w:rPr>
        <w:t>E. 3</w:t>
      </w:r>
    </w:p>
    <w:p>
      <w:r>
        <w:t>Interjeté dans les délai et forme prescrits par la loi, le recours est recevable (art. 56 ss LPGA).</w:t>
      </w:r>
    </w:p>
    <w:p>
      <w:r>
        <w:rPr>
          <w:b/>
        </w:rPr>
        <w:t>E. 4</w:t>
      </w:r>
    </w:p>
    <w:p>
      <w:r>
        <w:t>La remise de l'obligation de restituer la somme de 9'171 fr. ayant été accordée, seuls les dépens restent litigieux.</w:t>
      </w:r>
    </w:p>
    <w:p>
      <w:r>
        <w:rPr>
          <w:b/>
        </w:rPr>
        <w:t>E. 5</w:t>
      </w:r>
    </w:p>
    <w:p>
      <w:r>
        <w:t>a) Selon l’art. 61 let. g LPGA, la procédure devant la Chambre des assurances sociales de la Cour de justice est réglée par le droit cantonal, étant précisé que le recourant qui obtient gain de cause a droit au remboursement de ses frais et ses dépens dans la mesure fixée par la Cour et que leur montant est déterminé sans égard à la valeur litigieuse, d’après l’importance et la complexité du litige. b) L'art. 89 H al. 3 de la loi cantonale du 12 septembre 1985 sur la procédure administrative (LPA ; E 5 10), applicable à la procédure devant la chambre des assurances sociales de la Cour de justice, confirme qu’une indemnité est allouée au recourant qui obtient gain de cause.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 c) En règle ordinaire, les honoraires d’avocat sont fixés en fonction de l’importance et de la difficulté du litige, ainsi que d’après le travail et le temps que le mandataire a dû y consacrer (cf. GRISEL, Traité de droit administratif, page 848) et l’autorité cantonale chargée de fixer l’indemnité de dépens jouit d’un large pouvoir d’appréciation (ATF 111 V 49 consid. 4 a, 110 V 365 consid. 3 c).</w:t>
      </w:r>
    </w:p>
    <w:p>
      <w:r>
        <w:t>A/1949/2010 - 5/6 -</w:t>
      </w:r>
    </w:p>
    <w:p>
      <w:r>
        <w:rPr>
          <w:b/>
        </w:rPr>
        <w:t>E. 6</w:t>
      </w:r>
    </w:p>
    <w:p>
      <w:r>
        <w:t>En l'espèce, l'avocate de la recourante a déposé un acte de recours bref mais précis et complet, concernant la réalisation des conditions de la bonne foi et de la situation difficile de la recourante et elle aurait entièrement obtenu gain de cause, preuve en est que l'intimé a admis le recours et revu sa décision. La cause n'est pas d'une grande complexité toutefois. Ainsi, les dépens seront fixés à 1'000 fr.</w:t>
      </w:r>
    </w:p>
    <w:p>
      <w:r>
        <w:rPr>
          <w:b/>
        </w:rPr>
        <w:t>E. 7</w:t>
      </w:r>
    </w:p>
    <w:p>
      <w:r>
        <w:t>Pour le surplus, il sera pris acte de la décision du 7 mars 2013 et du retrait du recours.</w:t>
      </w:r>
    </w:p>
    <w:p>
      <w:r>
        <w:t>A/1949/2010 - 6/6 -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