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ATAS/350/2009 vom 25. März 2009</w:t>
      </w:r>
    </w:p>
    <w:p>
      <w:r>
        <w:t>GE Cour de justice, 2009-03-25, FR</w:t>
      </w:r>
    </w:p>
    <w:p>
      <w:r>
        <w:rPr>
          <w:b/>
        </w:rPr>
        <w:t xml:space="preserve">Quelle: </w:t>
      </w:r>
      <w:r>
        <w:t>https://mcp.opencaselaw.ch/entscheid/ge_gerichte_ATAS_350_2009</w:t>
      </w:r>
    </w:p>
    <w:p>
      <w:r>
        <w:t>FR: GE_GERICHTE ATAS/350/2009 du 25 mars 2009</w:t>
      </w:r>
    </w:p>
    <w:p>
      <w:r>
        <w:t>IT: GE_GERICHTE ATAS/350/2009 del 25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t>A/1923/2008 - 10/21 - En l'occurrence, dès lors que les faits déterminants se sont produits après le 1er janvier 2003, tant les règles matérielles que de procédure de la LPGA s’appliquent.</w:t>
      </w:r>
    </w:p>
    <w:p>
      <w:r>
        <w:rPr>
          <w:b/>
        </w:rPr>
        <w:t>E. 3</w:t>
      </w:r>
    </w:p>
    <w:p>
      <w:r>
        <w:t>Pour les mêmes raisons, les dispositions de la novelle du 21 mars 2003 modifiant la LAI (4ème révision), entrée en vigueur le 1er janvier 2004 (RO 2003 3852) sont applicables (ATF 127 V 467 consid. 1).</w:t>
      </w:r>
    </w:p>
    <w:p>
      <w:r>
        <w:rPr>
          <w:b/>
        </w:rPr>
        <w:t>E. 4</w:t>
      </w:r>
    </w:p>
    <w:p>
      <w:r>
        <w:t>En revanche, les dispositions de la loi fédérale du 6 octobre 2006 (RO 2007 5129 ; 5ème révision AI) entrée en vigueur le 1er janvier 2008 ne sont pas applicables, dès lors que les faits juridiquement déterminants se sont produits antérieurement.</w:t>
      </w:r>
    </w:p>
    <w:p>
      <w:r>
        <w:rPr>
          <w:b/>
        </w:rPr>
        <w:t>E. 5</w:t>
      </w:r>
    </w:p>
    <w:p>
      <w:r>
        <w:t>Enfin, 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rPr>
          <w:b/>
        </w:rPr>
        <w:t>E. 6</w:t>
      </w:r>
    </w:p>
    <w:p>
      <w:r>
        <w:t>Interjeté dans les forme et délai prévus par la loi, le recours est recevable (art. 56 et ss LPGA).</w:t>
      </w:r>
    </w:p>
    <w:p>
      <w:r>
        <w:rPr>
          <w:b/>
        </w:rPr>
        <w:t>E. 7</w:t>
      </w:r>
    </w:p>
    <w:p>
      <w:r>
        <w:t>Déterminé par la décision du 2 mai 2008 et les conclusions des parties, l'objet du litige concerne le droit du recourant à une rente de l'assurance-invalidité, singulièrement le taux d'invalidité qu'il présente.</w:t>
      </w:r>
    </w:p>
    <w:p>
      <w:r>
        <w:rPr>
          <w:b/>
        </w:rPr>
        <w:t>E. 8</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w:t>
      </w:r>
    </w:p>
    <w:p>
      <w:r>
        <w:t>A/1923/2008 - 11/21 -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pas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w:t>
      </w:r>
    </w:p>
    <w:p>
      <w:r>
        <w:t>A/1923/2008 - 12/21 - activité lucrative insuffisante ;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Une expertise présentée par une partie peut également valoir comme moyen de preuve. En vertu des principes énoncés par la jurisprudence concernant</w:t>
      </w:r>
    </w:p>
    <w:p>
      <w:r>
        <w:t>A/1923/2008 - 13/21 -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de l’assurance- invalidité (ATF 125 V 351 ; ATFA du 29 octobre 2003, I 321/03 consid. 3.1).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11</w:t>
      </w:r>
    </w:p>
    <w:p>
      <w:r>
        <w:t>Dans sa décision du 2 mai 2008, l’intimé a retenu que les atteintes à la santé dont souffre le recourant lui permettent d’exercer une activité adaptée à 70%. Il se fonde pour cela sur les conclusions du rapport des Drs K___________ et L___________. Pour sa part, le recourant soutient que ses atteintes entraînent une incapacité de travail totale. La thèse du recourant repose sur les rapports des Drs G___________, H___________, C___________, I___________ et M__________. En l’espèce, les Drs K___________, spécialiste en médecine générale et ancienne médecin-chef adjointe en physiatrie, et L___________, spécialiste en psychiatrie et psychothérapie, ont conclu qu’en raison des cervicalgies, des lombalgies et de l’arthrose aux coudes, le recourant présente des limitations fonctionnelles. Ils ont également diagnostiqué d’autres atteintes somatiques, ainsi qu’un trouble anxieux et dépressif mixte (F41.2), mais n’entraînant pas de répercussion sur sa capacité de travail. Compte tenu des atteintes somatiques, ils ont estimé que l’activité de garçon de buffet, telle qu’exercée antérieurement par le recourant, était exigible à 50%. Par contre, dans une activité adaptée aux limitations fonctionnelles physiques - évitant une position statique prolongée debout, assis, en rotation et flexion du tronc, en porte-à-faux, les mouvements extrêmes de la tête, les bras levés au-delà de l’horizontal, le port de charges supérieures à 10 kg occasionnellement à deux mains et à 3 kg en mono-manuel, les mouvements répétitifs avec les coudes, le travail à la chaîne, le travail sur une machine vibrante ainsi que le stress - la capacité de travail du recourant était de 70%.</w:t>
      </w:r>
    </w:p>
    <w:p>
      <w:r>
        <w:t>A/1923/2008 - 14/21 - Le Tribunal de céans constate que le rapport d'examen bidisciplinaire se fonde sur une anamnèse générale, familiale, professionnelle, ostéoarticulaire, psychosociale et psychiatrique, sur le dossier radiologique du recourant, sur un examen et un entretien avec le recourant ainsi que sur les plaintes qu'il a exprimées. Il tient compte notamment des appréciations du Dr I___________ et explique pour quelles raisons le diagnostic posé par ce dernier n'est pas retenu. Il a donc été établi en pleine connaissance de l'anamnèse et du dossier médical. La description de la situation médicale et son appréciation sont claires. Les examinateurs se sont exprimés sur l'évolution de l'état de santé depuis le début de l'incapacité de travail ainsi que sur la capacité de travail exigible et ont dûment motivé leur point de vue. Leurs conclusions sont cohérentes et convaincantes. Il s'ensuit que le rapport remplit toutes les conditions jurisprudentielles permettant de lui reconnaître une pleine force probante. Il convient cependant encore d'examiner s'il existe des indices concrets permettant de mettre en cause le bien- fondé des conclusions de ses auteurs. Sur le plan somatique, il y a lieu de constater que les diagnostics posés par les examinateurs du SMR concordent avec ceux posés par les médecins consultés, soit notamment le Dr G___________ (rapports des 24 août 2006 et 21 juin 2007), le Dr F___________ (rapports des 29 mai et 25 septembre 2006), le Dr H___________ (rapport du 9 novembre 2006) et le Dr E___________ (rapport du 31 mai 2007). S'agissant des répercussions entraînées par les atteintes somatiques sur la capacité de travail du recourant, les Drs H___________ et G___________ ont estimé que dans une activité légère, la capacité était de 50% (rapports des 9 novembre 2006 et 21 juin 2007). Le Tribunal de céans est d'avis que les appréciations des Drs H___________ et G___________ ne suffisent cependant pas à mettre en doute les conclusions des examinateurs du SMR. En effet, le rapport du Dr H___________ est insuffisamment probant pour remettre en cause lesdites conclusions, au vu de l’examen clinique fort succinct que ce médecin a réalisé. De surcroît, il n’explique pas pour quelles raisons le recourant aurait la même capacité de travail, soit 50%, dans son activité habituelle - laquelle est jugée lourde - et dans une activité légère. Par ailleurs, on ne saurait pas non plus donner une importance décisive à l’appréciation du Dr G___________, dès lors que ce praticien, au demeurant médecin traitant du recourant, n’a pas émis un avis clair, circonstancié et motivé sur la capacité résiduelle du recourant. Il s’ensuit que le Tribunal de céans n’est pas convaincu par ses conclusions. Sur le plan psychique, le Dr I___________, spécialiste en psychiatrie et psychothérapie, a diagnostiqué un trouble dépressif récurrent, épisode actuel moyen</w:t>
      </w:r>
    </w:p>
    <w:p>
      <w:r>
        <w:t>A/1923/2008 - 15/21 - avec syndrome somatique (F33.11 ; rapports des 12 juin et 10 décembre 2007, 7 mai 2008). Selon lui, l’incapacité de travail du recourant est totale. Contrairement à ce que soutient le recourant, l’avis de ce spécialiste ne permet pas de remettre en question l’évaluation des examinateurs. En effet, ces derniers ont, sur la base de leurs constatations cliniques, nié l'existence d'un trouble dépressif récurrent, et ce de façon convaincante : ils ont expliqué pour quels motifs le qualificatif "récurrent" ne pouvait être utilisé dans le cas du recourant et ont estimé que l’intensité des symptômes anxieux dépressifs était insuffisante pour retenir un diagnostic séparé. En outre, le Tribunal de céans constate que pour justifier une incapacité de travail totale du recourant, le Dr I___________ se contente de renvoyer aux atteintes physique et psychique dont souffre le recourant, sans motiver d’aucune manière son appréciation. L’avis du Dr I___________, émis en qualité de psychiatre-traitant, ne contient donc pas d’éléments permettant de douter du bien- fondé des conclusions des médecins du SMR. Le recourant a produit à titre d’expertise psychiatrique, un rapport de la Dresse M__________, spécialiste en psychiatrie et psychothérapie, daté du 4 septembre 2008. Cette spécialiste a posé le diagnostic de dépression sévère, mais ne s’est pas prononcée sur la capacité de travail du recourant. Le Tribunal de céans relèvera que ce rapport d’à peine deux pages, truffé de fautes d’orthographe, n’est pas signé. De surcroît, il est rédigé en style télégraphique sur un papier sans en-tête. Par ailleurs, il ne contient ni anamnèse psychiatrique, ni appréciation du cas. En outre, la description du contexte médical et l’appréciation de la situation ne sont pas claires. Enfin, les conclusions, non motivées, ne sont pas convaincantes. Le Tribunal de céans est d’avis qu’au vu de l’ensemble de ces éléments, lesquels mettent sérieusement en doute l’authenticité de ce rapport, aucune valeur probante ne peut lui être accordée. On s’étonne d’ailleurs que le recourant, représenté par un avocat, se permette de produire un tel document à titre « d’expertise psychiatrique». Cela étant, on relèvera que ce rapport signale la nécessité d’un interprète de langue roumaine en cas d’examen clinique du recourant. Cependant, rien ne laisse supposer que, lors de l’examen bidisciplinaire, le recourant ait été limité par des problèmes de langue. Au contraire, les anamnèses sont très détaillées. De surcroît, le recourant n’invoque pas un tel grief. Quoi qu’il en soit, ce dernier avait la possibilité de faire appel à un interprète (convocation du 10 janvier 2008). En outre, il ne ressort pas des rapports versés au dossier que les médecins consultés aient été confrontés à un problème de langue. On relèvera à cet égard que le Dr H___________ a mentionné que le recourant parlait bien le français (rapport du 9 novembre 2006 p. 3).</w:t>
      </w:r>
    </w:p>
    <w:p>
      <w:r>
        <w:t>A/1923/2008 - 16/21 - Enfin, l’avis du Dr C___________, selon lequel l’arrêt de travail du recourant était justifié en raison d’un trouble dépressif-anxieux (rapport du 8 avril 2006), n’est pas propre à ébranler la crédibilité des conclusions du SMR, dans la mesure où la psychiatrie ne relève pas du domaine de spécialisation de ce praticien. Le Tribunal de céans constate par conséquent qu'à défaut d'éléments véritablement contradictoires ressortant du dossier médical du recourant, c'est à juste titre que l'intimé s'est fondé sur les conclusions bien étayées du rapport bidisciplinaire du 18 février 2008, rendues au terme d’examens complets, et retenant une capacité de travail de 70% dans une activité adaptée. Compte tenu de ce qui précède, le Tribunal de céans estime qu’il n’y a pas lieu de procéder à un complément d’instruction tel que sollicité par le recourant. A cet égard, on relèvera qu’une divergence d’opinion entre un médecin du SMR et le médecin traitant, en l’espèce appuyé par un expert privé, ne nécessite pas forcément la mise en œuvre de mesures probatoires, que ce soit sous la forme d’une nouvelle expertise ou de l’audition de témoins (cf. ATFA non publié du 18 octobre 2006, cause I 827/05).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notamment ATF 122 II 469 consid. 4a, 119 V 344 consid. 3c et la référence). Une telle manière de procéder ne viole pas le droit d'être entendu selon l'art. 29 al. 2 Cst. (SVR 2001 IV n° 10 p. 28 consid. 4b). Il reste à examiner si l'évaluation du taux d'invalidité à laquelle a procédé l'intimé est conforme aux règles légales applicables ainsi qu'aux principes dégagés par la jurisprudence en la matière.</w:t>
      </w:r>
    </w:p>
    <w:p>
      <w:r>
        <w:rPr>
          <w:b/>
        </w:rPr>
        <w:t>E. 12</w:t>
      </w:r>
    </w:p>
    <w:p>
      <w:r>
        <w:t>a) En vertu de l'art. 28 al. 1 LAI (dans sa version en vigueur dès le 1er janvier 2004), l'assuré a droit à une rente entière s'il est invalide à 70% au moins, à trois- quarts de rente s'il est invalide à 60% au moins, à une demi-rente s'il est invalide à 50% au moins, ou à un quart de rente s'il est invalide à 40% au moins. Selon l'art. 29 al. 1 let. b LAI (dans sa version en vigueur jusqu’au 31 décembre 2007), le droit à la rente prend naissance au plus tôt à la date à laquelle l'assuré a présenté, en moyenne, une incapacité de travail de 40% au moins pendant une année sans interruption notable (art. 6 LPGA).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w:t>
      </w:r>
    </w:p>
    <w:p>
      <w:r>
        <w:t>A/1923/2008 - 17/21 -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c)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d) Le revenu d'invalide doit être évalué avant tout en fonction de la situation professionnelle concrète de l'intéressé. S'il exerce une activité lucrative après la survenance de l'invalidité et que - cumulativement - les rapports de travail sont particulièrement stables, qu'il y a lieu d'admettre qu'il utilise sa capacité de travail résiduelle dans la mesure qu'on est en droit d'exiger de lui et que le revenu versé en contrepartie de son travail est approprié et ne représente pas un salaire social, le gain effectivement réalisé est en principe considéré comme le salaire d'invalide (ATF 129 V 475 consid. 4.2.1; 126 V 76 consid. 3b/aa et les arrêts cités). Si l'assuré ne réalise aucun revenu réel parce qu'il n'a plus repris d'activité depuis son invalidité ou du moins n'exerce pas l'activité que l'on pourrait raisonnablement exiger de lui, le revenu d'invalide peut être évalué sur la base des données statistiques ressortant de l'Enquête suisse sur la structure des salaires (ATF 126 V 76 consid. 3b/aa, 117 V 18). On se réfère alors à la statistique des salaires bruts standardisés, en se fondant toujours sur la médiane ou valeur centrale (ATF 124 V 321).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w:t>
      </w:r>
    </w:p>
    <w:p>
      <w:r>
        <w:t>A/1923/2008 - 18/21 - maximum de 25 % sur le salaire statistique permet de tenir compte des différents éléments qui peuvent influencer le revenu d'une activité lucrative (ATF 126 V 79 consid. 5b/aa-cc; VSI 2002 p. 70 s. consid. 4b). La déduction de 25 %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Tribunal fédéral (ci-après TF) a ainsi procédé à un abattement de 15% pour tenir compte en particulier de la nationalité étrangère du recourant et de l’empêchement à effectuer des travaux lourds ou de la nécessité d'alterner les positions assis/debout (ATFA non publié du 30 novembre 2001 I 422/01). Dans un autre cas, l’abattement a été fixé à 15% dans le cas d’un ressortissant portugais d’une cinquantaine d’année subissant des limitations importantes de l’épaule (ATFA non publié du 18 juillet 2003, I 422/01). Par ailleurs, le TF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 Enfin, la réduction des salaires ressortant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w:t>
      </w:r>
    </w:p>
    <w:p>
      <w:r>
        <w:rPr>
          <w:b/>
        </w:rPr>
        <w:t>E. 13</w:t>
      </w:r>
    </w:p>
    <w:p>
      <w:r>
        <w:t>En l'espèce, il convient de se placer en 2007 puisque le début de l'incapacité de travail du recourant, dans son activité de garçon de buffet, remonte au 4 avril 2006 et son annonce à l'intimé au 21 mai 2007.</w:t>
      </w:r>
    </w:p>
    <w:p>
      <w:r>
        <w:t>A/1923/2008 - 19/21 - a) Selon les renseignements fournis par l'employeur, le recourant aurait pu réaliser en 2007, sans atteinte à la santé, 4'496 fr. par mois (13ème salaire compris), ce qui correspond à un revenu annuel de 53'952 fr. (4'496 x 12). b) S’agissant du salaire avec invalidité, dans la mesure où le recourant n’exerce plus d’activité, il y a lieu de se référer aux statistiques salariales. Compte tenu de l'activité de substitution raisonnablement exigible de la part du recourant dans un emploi adapté à son état de santé, - éviter la position statique prolongée debout, assise, en rotation-flexion du tronc ou en porte-à-faux, les mouvements extrêmes de la tête, le travail avec les bras au-dessus de l’horizontale, le port de charges supérieures à 10 kg à deux mains, supérieures à 3 kg à une main, les mouvements répétitifs des coudes, pas de travail à la chaîne ni sur une machine vibrante et éviter le stress -, le salaire de référence est celui auquel peuvent prétendre les hommes effectuant des activités simples et répétitives dans le secteur privé (RAMA 2001 n° U 439 p. 347), à savoir 4'732 fr. par mois (tous secteurs confondus) - valeur en 2006 - part au 13ème salaire comprise (L'enquête suisse sur la structure des salaires 2008, Tableau TA1, niveau de qualification 4), soit 56’784 fr. par année. Ce salaire hypothétique représente, compte tenu du fait que les salaires bruts standardisés se basent sur un horaire de travail de quarante heures, soit une durée hebdomadaire inférieure à la moyenne usuelle dans les entreprises en 2006 (41.7 heures; La Vie économique, 1/2 -2009, tableau B9.2), et comme le revenu statistique 2006 doit être adapté à l’augmentation des salaires nominaux pour les hommes en 2007 (+ 1.6%, Evolution des salaires 2007, p. 23, tableau T1.39), ce montant doit être porté à 60'144 fr. (56’784 fr. + 1.6% = 57’692 x 41.7 : 40), soit 42’101 fr. pour un taux d'occupation de 70%. A ce montant, il convient, conformément à la jurisprudence, d'appliquer un facteur de réduction. A cet égard, le Tribunal de céans est d’avis que la réduction de 10% appliquée par l’intimé ne tient pas correctement compte de l’ensemble des circonstances du cas d’espèce. En effet, s'agissant de la situation personnelle et professionnelle du recourant, le Tribunal de céans constate que le recourant, employé depuis 20 ans auprès du CAFE X___________, ne peut exercer qu’une activité à temps partiel, et ce avec de très nombreuses limitations. De surcroît, il était âgé de presque 61 ans au moment où la décision litigieuse a été rendue. Ainsi, les critères de réduction liés au taux partiel d'occupation, aux années de service et à l’âge avancé sont remplis, de sorte qu’il se justifie d’appliquer une déduction de 25%. Compte tenu d'un tel abattement, le revenu annuel d'invalide évalué sur la base des statistiques salariales est ainsi de 31'575 fr. (valeur 2007). La comparaison des revenus ((53’952- 31’575) x 100 : 53’952) aboutit à un degré d'invalidité de 41.47%, taux qui confère à l'assuré le droit à un quart de rente d'invalidité dès le 1er avril 2007.</w:t>
      </w:r>
    </w:p>
    <w:p>
      <w:r>
        <w:t>A/1923/2008 - 20/21 -</w:t>
      </w:r>
    </w:p>
    <w:p>
      <w:r>
        <w:rPr>
          <w:b/>
        </w:rPr>
        <w:t>E. 14</w:t>
      </w:r>
    </w:p>
    <w:p>
      <w:r>
        <w:t>Au vu de ce qui précède, le recours sera admis. Le recourant obtenant partiellement gain de cause, une indemnité de 1’500 fr. lui sera accordée à titre de participation à ses frais et dépens (art. 61 let. g LPGA). L’intimé sera condamné au paiement d’un émolument de 500 fr., conformément à l’art. 69 al. 1 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