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ATAS/34/2025 vom 20. Januar 2025</w:t>
      </w:r>
    </w:p>
    <w:p>
      <w:r>
        <w:t>GE Cour de justice, 2025-01-20, FR</w:t>
      </w:r>
    </w:p>
    <w:p>
      <w:r>
        <w:rPr>
          <w:b/>
        </w:rPr>
        <w:t xml:space="preserve">Quelle: </w:t>
      </w:r>
      <w:r>
        <w:t>https://mcp.opencaselaw.ch/entscheid/ge_gerichte_ATAS_34_2025</w:t>
      </w:r>
    </w:p>
    <w:p>
      <w:r>
        <w:t>FR: GE_GERICHTE ATAS/34/2025 du 20 janvier 2025</w:t>
      </w:r>
    </w:p>
    <w:p>
      <w:r>
        <w:t>IT: GE_GERICHTE ATAS/34/2025 del 20 gennaio 2025</w:t>
      </w:r>
    </w:p>
    <w:p>
      <w:pPr>
        <w:pStyle w:val="Heading2"/>
      </w:pPr>
      <w:r>
        <w:t>Erwägungen</w:t>
      </w:r>
    </w:p>
    <w:p>
      <w:r>
        <w:rPr>
          <w:b/>
        </w:rPr>
        <w:t>E. 1.1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[(LPA-GE - E 5 10)].</w:t>
      </w:r>
    </w:p>
    <w:p>
      <w:r>
        <w:rPr>
          <w:b/>
        </w:rPr>
        <w:t>E. 2</w:t>
      </w:r>
    </w:p>
    <w:p>
      <w:r>
        <w:t>Le litige porte sur le calcul des prestations complémentaires du recourant, singulièrement sur le revenu hypothétique imputé à son épouse depuis le 1er avril 2024.</w:t>
      </w:r>
    </w:p>
    <w:p>
      <w:r>
        <w:rPr>
          <w:b/>
        </w:rPr>
        <w:t>E. 3</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w:t>
      </w:r>
    </w:p>
    <w:p>
      <w:r>
        <w:t>A/3289/2024 - 4/8 - En l’occurrence, le droit aux prestations complémentaires est né postérieurement au 1er janvier 2021, de sorte que les dispositions légales applicables seront citées dans leur nouvelle teneur.</w:t>
      </w:r>
    </w:p>
    <w:p>
      <w:r>
        <w:rPr>
          <w:b/>
        </w:rPr>
        <w:t>E. 3.1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 du montant forfaitaire annuel pour l’assurance obligatoire des soins au sens de l’art. 10 al. 3 let. d LPC. Ont droit aux prestations complémentaires cantonales les personnes dont le revenu annuel déterminant n’atteint pas le revenu minimum cantonal d’aide sociale applicable (art. 4 LPCC).</w:t>
      </w:r>
    </w:p>
    <w:p>
      <w:r>
        <w:rPr>
          <w:b/>
        </w:rPr>
        <w:t>E. 3.2</w:t>
      </w:r>
    </w:p>
    <w:p>
      <w:r>
        <w:t>Selon l’art. 11a LPC, entré en vigueur le 1er janvier 2021, si une personne renonce volontairement à exercer une activité lucrative que l’on pourrait raisonnablement exiger d’elle, le revenu hypothétique correspondant est pris en compte comme revenu déterminant. La prise en compte de ce revenu est réglée par l’art. 11 al. 1 let. a LPC (al. 1).</w:t>
      </w:r>
    </w:p>
    <w:p>
      <w:r>
        <w:rPr>
          <w:b/>
        </w:rPr>
        <w:t>E. 3.3</w:t>
      </w:r>
    </w:p>
    <w:p>
      <w:r>
        <w:t>Hormis la prise en compte, à hauteur de 80 %, du revenu hypothétique d’une activité lucrative du conjoint sans droit aux prestations complémentaires (cf. art. 11 al. 1 let. a LPC), l’art. 11a al. 1 LPC reprend sur le fond la pratique actuelle en matière de prise en compte du revenu hypothétique (Message du Conseil fédéral relatif à la modification de la loi sur les prestations complémentaires [Réforme des PC] du 16 septembre 2016, FF 2016 7249 p. 7322).</w:t>
      </w:r>
    </w:p>
    <w:p>
      <w:r>
        <w:rPr>
          <w:b/>
        </w:rPr>
        <w:t>E. 3.4</w:t>
      </w:r>
    </w:p>
    <w:p>
      <w:r>
        <w:t>Il y a dessaisissement lorsque le conjoint d'une personne assurée s'abstient de mettre en valeur sa capacité de gain, alors qu'il pourrait se voir obligé d'exercer une activité lucrative en vertu de l'art. 163 du code civil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w:t>
      </w:r>
    </w:p>
    <w:p>
      <w:r>
        <w:t>A/3289/2024 - 5/8 -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Selon la jurisprudence, le point de savoir si l'on peut exiger du conjoint d'un bénéficiaire de prestations complémentaires qu'il exerce une activité lucrative doit être examiné à l'aune des critères posés en droit de la famille, plus particulièrement de l'art. 163 CC.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 arrêt du Tribunal fédéral 8C_500/2023 du 24 janvier 2024 consid. 4.2).</w:t>
      </w:r>
    </w:p>
    <w:p>
      <w:r>
        <w:rPr>
          <w:b/>
        </w:rPr>
        <w:t>E. 3.4.1</w:t>
      </w:r>
    </w:p>
    <w:p>
      <w:r>
        <w:t>La chambre de céans a jugé qu'il pouvait être attendu de l'épouse d'un assuré, alors âgée de près de 35 ans, disposant d'une pleine capacité de travail, en bonne santé, ayant accès au marché du travail, épouse d'un invalide à 100%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était pleinement disponible et en mesure de s'occuper de l'enfant en question et même d'un premier enfant issu de son premier mariage (ATAS/1157/2014 du 11 novembre 2014). Il a également été jugé que l'épouse d'un assuré, encore jeune (37 ans), disposant d'une bonne instruction de base, parlant relativement bien le français, dont l'époux au bénéfice d'une rente entière d'invalidité était occupé à la Fondation PRO au maximum de ses possibilités (soit à 50%) et ne pouvait, du fait de sa fatigue au retour de ce travail, l'aider dans les tâches ménagères et éducatives, pouvait prendre un emploi à mi- temps seulement - respectivement devait se voir opposer la prise en compte d'un gain potentiel correspondant - dès lors que les trois premiers enfants du couple (âgés de 12 à 14 ans) étaient scolarisés tant que le quatrième enfant, alors âgé de un an et demi, ne le serait pas (ATAS/468/2004 du 16 juin 2014). Un taux d'activité lucrative possible de 50% a été retenu pour une épouse ayant des enfants</w:t>
      </w:r>
    </w:p>
    <w:p>
      <w:r>
        <w:t>A/3289/2024 - 6/8 - à charge, travaillant déjà comme patrouilleuse scolaire, mais à raison de 22 heures par mois seulement, et dont l'état de santé permettait d'exercer des travaux de nettoyage deux heures par jour, en sus de l'activité de patrouilleuse (ATAS/372/2004 du 25 mai 2004). De même,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(ATAS/246/2006 du 14 mars 2006 ; ATAS/1445/2007 du 19 décembre 2007).</w:t>
      </w:r>
    </w:p>
    <w:p>
      <w:r>
        <w:rPr>
          <w:b/>
        </w:rPr>
        <w:t>E. 3.4.2</w:t>
      </w:r>
    </w:p>
    <w:p>
      <w:r>
        <w:t>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(ATAS/1100/2014 du 21 octobre 2014). Tout gain potentiel a encore été exclu pour une épouse n'ayant aucune formation, ne parlant pratiquement pas le français et ayant plusieurs enfants en bas âge (ATAS/750/2004 du 28 septembre 2004). Il en a été de même pour une jeune épouse ayant quatre enfants, dont le plus âgé avait seulement 5 ans. Dans cette affaire, la chambre de céans a toutefois précisé que la situation pourrait être revue lorsque les enfants seraient scolarisés, ce qui permettrait à l'épouse de dégager du temps pour exercer une activité lucrative à temps partiel (ATAS/553/2014 du 22 avril 2014). Un gain hypothétique a été exclu durant le dernier mois de grossesse de l'épouse du bénéficiaire ainsi que durant le congé maternité ; il pouvait cependant être attendu de celle-ci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(ATAS/111/2016 du 10 février 2016). Enfin, il a été tenu compte d’un revenu hypothétique d’une activité à un taux de 50% pour l’épouse en charge de trois enfants, dont le dernier n’était pas scolarisé (ATAS/150/2023 du 7 mars 2023 consid. 8.2.5 et 8.2.6).</w:t>
      </w:r>
    </w:p>
    <w:p>
      <w:r>
        <w:rPr>
          <w:b/>
        </w:rPr>
        <w:t>E. 4</w:t>
      </w:r>
    </w:p>
    <w:p>
      <w:r>
        <w:t>En l’occurrence, l’épouse du recourant a accouché le 27 novembre 2023, de sorte qu’au 1er avril 2024 son enfant était âgé de quatre mois. Dans ces conditions et selon la jurisprudence précitée, une activité à un taux de 50% au maximum peut être retenue à l’égard de cette dernière, au titre de revenu hypothétique. Contrairement aux cas précités ayant donnés lieu à la suppression de tout gain hypothétique, l’épouse du recourant a, au jour de la décision litigieuse, à sa charge</w:t>
      </w:r>
    </w:p>
    <w:p>
      <w:r>
        <w:t>A/3289/2024 - 7/8 - un seul enfant en bas âge, de sorte qu’il apparait justifié d’exiger d’elle, à l’issue de son congé maternité et même si elle est à nouveau enceinte, une activité à un taux partiel, ce d’autant que, comme relevé par l’intimé, elle maîtrise la langue anglaise, laquelle est utilisée, en Suisse, dans plusieurs secteurs professionnels. S’agissant du montant du gain hypothétique, le recourant fait valoir l’art. 36E al. 3 LPCC, lequel se rapporte au calcul des prestations complémentaires familiales et ne s’applique pas au cas d’espèce. En conséquence, le gain hypothétique à retenir, dès le 1er avril 2024, est, conformément à la décision litigieuse, celui issu de l’enquête suisse sur la structure des salaires, soit CHF 50'538.90. Compte tenu d’une activité exercée à 50% et d’une prise en compte à hauteur de 80%, il est finalement de CHF 20'250.60, de sorte que le recours sera partiellement admis, dans le sens que des prestations complémentaires doivent être allouées au recourant dès le 1er avril 2024, en tenant compte du revenu hypothétique précité. Vue l’issue du litige, une indemnité de CHF 2'000.- sera accordée au recourant, à la charge de l’intimé,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A/3289/2024 - 8/8 -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