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ATAS/34/2020 vom 21. Januar 2020</w:t>
      </w:r>
    </w:p>
    <w:p>
      <w:r>
        <w:t>GE Cour de justice, 2020-01-21, FR</w:t>
      </w:r>
    </w:p>
    <w:p>
      <w:r>
        <w:rPr>
          <w:b/>
        </w:rPr>
        <w:t xml:space="preserve">Quelle: </w:t>
      </w:r>
      <w:r>
        <w:t>https://mcp.opencaselaw.ch/entscheid/ge_gerichte_ATAS_34_2020</w:t>
      </w:r>
    </w:p>
    <w:p>
      <w:r>
        <w:t>FR: GE_GERICHTE ATAS/34/2020 du 21 janvier 2020</w:t>
      </w:r>
    </w:p>
    <w:p>
      <w:r>
        <w:t>IT: GE_GERICHTE ATAS/34/2020 del 21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 art. 62 al. 1 phr. 1 et 63 al. 1 let. a LPA).</w:t>
      </w:r>
    </w:p>
    <w:p>
      <w:r>
        <w:t>A/4019/2019 - 4/5 - En vertu de l’art. 16 al. 1 LPA, le délai légal ne peut être prolongé (cf. également art. 40 al. 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Selon la jurisprudence, une décision est considérée comme étant notifiée, non pas au moment où le justiciable en prend connaissance, mais le jour où elle est dûment communiquée ; s’agissant d’un acte soumis à réception, la notification est réputée parfaite au moment où la décision entre dans la sphère de puissance de son destinataire (ATF 113 Ib 296 consid. 2a p. 297 et les références). Le destinataire d’un acte judiciaire envoyé sous pli recommandé, à l’adresse duquel un avis de retrait a été déposé, est libre d’aller retirer l’envoi à sa convenance, à l’intérieur du délai de garde de sept jours suivant la première tentative de notification. S’agissant de délais fixés en jours, ils courent dès le lendemain de la communication de l’acte (art. 38 al. 1 LPGA), à savoir au moment du retrait de l’acte au guichet postal, dans le cas d’un acte remis contre signature dont la première tentative de distribution a été infructueuse. Ce n’est que si l’envoi n’est pas retiré dans le délai de garde, qu’il est réputé avoir été communiqué le dernier jour de ce délai (ATF 143 V 249 consid. 5).</w:t>
      </w:r>
    </w:p>
    <w:p>
      <w:r>
        <w:rPr>
          <w:b/>
        </w:rPr>
        <w:t>E. 3</w:t>
      </w:r>
    </w:p>
    <w:p>
      <w:r>
        <w:t>En l’occurrence, dans son écriture du 23 octobre 2019, le recourant affirme contester la décision sur opposition du 20 juin 2019. Or, selon la recherche postale produite par l’intimé, cette décision a été notifiée au recourant le 21 juin 2019 par courrier recommandé du 20 juin 2019. Aucun recours n’a été formé dans les trente jours suivant sa notification. Le seul acte qui ait été déposé à la chambre de céans à la suite de la notification de la décision litigieuse est le courrier du 23 octobre 2019. Or, déposé près de quatre mois après la décision sur opposition du 20 juin 2019, le recours est tardif. Aucun motif justifiant une restitution du délai de recours au sens de l’art. 41 LPGA n’ayant été invoqué, le recours doit être déclaré irrecevable.</w:t>
      </w:r>
    </w:p>
    <w:p>
      <w:r>
        <w:rPr>
          <w:b/>
        </w:rPr>
        <w:t>E. 4</w:t>
      </w:r>
    </w:p>
    <w:p>
      <w:r>
        <w:t>La procédure est gratuite (art. 61 let. a LPGA et 89H al. 1 LPA). * * * * * *</w:t>
      </w:r>
    </w:p>
    <w:p>
      <w:r>
        <w:t>A/4019/2019 - 5/5 -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