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ATAS/349/2024 vom 21. Mai 2024</w:t>
      </w:r>
    </w:p>
    <w:p>
      <w:r>
        <w:t>GE Cour de justice, 2024-05-21, FR</w:t>
      </w:r>
    </w:p>
    <w:p>
      <w:r>
        <w:rPr>
          <w:b/>
        </w:rPr>
        <w:t xml:space="preserve">Quelle: </w:t>
      </w:r>
      <w:r>
        <w:t>https://mcp.opencaselaw.ch/entscheid/ge_gerichte_ATAS_349_2024</w:t>
      </w:r>
    </w:p>
    <w:p>
      <w:r>
        <w:t>FR: GE_GERICHTE ATAS/349/2024 du 21 mai 2024</w:t>
      </w:r>
    </w:p>
    <w:p>
      <w:r>
        <w:t>IT: GE_GERICHTE ATAS/349/2024 del 21 maggio 2024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En cas d'irrégularités de facturation constatées, évaluer à combien s'élève approximativement le surcoût de facturation sur l'ensemble des positions/prestations d'août 2014 à juin 2019, au degré de la vraisemblance prépondérante ;</w:t>
      </w:r>
    </w:p>
    <w:p>
      <w:r>
        <w:rPr>
          <w:b/>
        </w:rPr>
        <w:t>E. 6</w:t>
      </w:r>
    </w:p>
    <w:p>
      <w:r>
        <w:t>Les demanderesses ont demandé à ce que l'expert réponde également aux questions suivantes :</w:t>
      </w:r>
    </w:p>
    <w:p>
      <w:r>
        <w:rPr>
          <w:b/>
        </w:rPr>
        <w:t>E. 6.1</w:t>
      </w:r>
    </w:p>
    <w:p>
      <w:r>
        <w:t>La position TARMED du test d’effort (ou ergométrie ; position 17.0090) englobe-t-elle celle de l’ECG (position 17.0010) dès lors que les électrodes sont déjà placées sur le corps du/de la patient-e, raison pour laquelle ces positions ne peuvent pas être facturées ensemble ? Est-il pertinent d’effectuer ces deux examens à la même personne, lors de deux consultations différentes et rapprochées, plutôt que lors de la même consultation ?</w:t>
      </w:r>
    </w:p>
    <w:p>
      <w:r>
        <w:rPr>
          <w:b/>
        </w:rPr>
        <w:t>E. 6.2</w:t>
      </w:r>
    </w:p>
    <w:p>
      <w:r>
        <w:t>Quelle est l’utilité ainsi que l’utilisation admises de la position 17.0120 relative à l’ECG partiel ?</w:t>
      </w:r>
    </w:p>
    <w:p>
      <w:r>
        <w:rPr>
          <w:b/>
        </w:rPr>
        <w:t>E. 6.3</w:t>
      </w:r>
    </w:p>
    <w:p>
      <w:r>
        <w:t>Est-ce correct, de manière générale, de procéder à un contrôle partiel du rythme (position 17.0120) en plus du test d’effort (ou ergométrie ; position 17.0090) ? Si oui, dans quels cas ? Était-ce indiqué dans les cas analysés ? L’enregistrement supplémentaire du contrôle du rythme (position 17.0120) a-t-il été correctement documenté ?</w:t>
      </w:r>
    </w:p>
    <w:p>
      <w:r>
        <w:rPr>
          <w:b/>
        </w:rPr>
        <w:t>E. 6.4</w:t>
      </w:r>
    </w:p>
    <w:p>
      <w:r>
        <w:t>La position 00.050 relative à l’entretien d’information avant une intervention peut-elle être utilisée en lien avec un test d’effort ou un</w:t>
      </w:r>
    </w:p>
    <w:p>
      <w:r>
        <w:t>A/2905/2019 - 15/16 - ECG et facturée à charge de l’AOS ? Cette position a-t-elle été correctement documentée ?</w:t>
      </w:r>
    </w:p>
    <w:p>
      <w:r>
        <w:rPr>
          <w:b/>
        </w:rPr>
        <w:t>E. 6.5</w:t>
      </w:r>
    </w:p>
    <w:p>
      <w:r>
        <w:t>En se référant à la décision de la CPI du 1er décembre 2020 (n° 16007 – Gestion du dossier médical du patient), figurant en annexe du courrier des demanderesses du 16 avril 2024, l’étude du dossier du/de la patient-e durant la consultation entre-t-elle dans la/les position(s) tarifaire(s) relative(s) à la consultation de base (positions 00.0010/20/30) ?</w:t>
      </w:r>
    </w:p>
    <w:p>
      <w:r>
        <w:rPr>
          <w:b/>
        </w:rPr>
        <w:t>E. 6.6</w:t>
      </w:r>
    </w:p>
    <w:p>
      <w:r>
        <w:t>Est-il régulier qu’un-e patient-e vienne consulter un-e cardiologue directement, sans y être adressé-e par son/sa médecin traitant-e ?</w:t>
      </w:r>
    </w:p>
    <w:p>
      <w:r>
        <w:rPr>
          <w:b/>
        </w:rPr>
        <w:t>E. 6.7</w:t>
      </w:r>
    </w:p>
    <w:p>
      <w:r>
        <w:t>Lorsque le/la patient-e a été adressé-e à un-e cardiologue par son/sa médecin traitant-e est-ce que le/la spécialiste doit également procéder aux mêmes actes médicaux qu’un-e spécialiste de premier recours (not. examen complet ; position 00.0420) ?</w:t>
      </w:r>
    </w:p>
    <w:p>
      <w:r>
        <w:rPr>
          <w:b/>
        </w:rPr>
        <w:t>E. 6.8</w:t>
      </w:r>
    </w:p>
    <w:p>
      <w:r>
        <w:t>Est-ce que le processus décrit par le défendeur au bas de la page 2 du procès-verbal de son audition du 21 avril 2023 correspond à un examen complet (position 00.0420 utilisée avant 2018), voire à un petit examen par le spécialiste (position 00.0415) ?</w:t>
      </w:r>
    </w:p>
    <w:p>
      <w:r>
        <w:rPr>
          <w:b/>
        </w:rPr>
        <w:t>E. 6.9</w:t>
      </w:r>
    </w:p>
    <w:p>
      <w:r>
        <w:t>En se fondant sur l’interprétation d’ordre général TARMED 14 Documentation et rapport, est-ce que chaque prestation médicale doit être documentée ?</w:t>
      </w:r>
    </w:p>
    <w:p>
      <w:r>
        <w:rPr>
          <w:b/>
        </w:rPr>
        <w:t>E. 6.10</w:t>
      </w:r>
    </w:p>
    <w:p>
      <w:r>
        <w:t>Quelle est la durée moyenne d’une consultation auprès d’un-e cardiologue en cabinet ?</w:t>
      </w:r>
    </w:p>
    <w:p>
      <w:r>
        <w:rPr>
          <w:b/>
        </w:rPr>
        <w:t>E. 7</w:t>
      </w:r>
    </w:p>
    <w:p>
      <w:r>
        <w:t>Le défendeur a quant à lui souhaité ajouter la question suivante : Dans l’hypothèse où le défendeur n’a pas appliqué de façon conforme le système de facturation TARMED, est-ce que sa manière de facturer a eu pour conséquence une polypragmasie / surfacturation en comparaison de la norme du coût moyen par patient ?</w:t>
      </w:r>
    </w:p>
    <w:p>
      <w:r>
        <w:t>VI Faire toutes autres observations ou suggestions utiles.</w:t>
      </w:r>
    </w:p>
    <w:p>
      <w:r>
        <w:t>VII Invite l’expert à déposer un rapport en trois exemplaires au Tribunal arbitral dans un délai de six mois à compter de l'entrée en force de la présente ordonnance.</w:t>
      </w:r>
    </w:p>
    <w:p>
      <w:r>
        <w:t>VIII Réserve le fond, ainsi que le sort des frais, jusqu’à droit jugé au fond.</w:t>
      </w:r>
    </w:p>
    <w:p>
      <w:r>
        <w:t>A/2905/2019 - 16/16 -</w:t>
      </w:r>
    </w:p>
    <w:p>
      <w:r>
        <w:t>La greffière</w:t>
      </w:r>
    </w:p>
    <w:p>
      <w:r>
        <w:t>Christine RAVIER</w:t>
      </w:r>
    </w:p>
    <w:p>
      <w:r>
        <w:t>La présidente suppléante</w:t>
      </w:r>
    </w:p>
    <w:p>
      <w:r>
        <w:t>Doris GALEAZZI</w:t>
      </w:r>
    </w:p>
    <w:p>
      <w:r>
        <w:t>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