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ATAS/349/2023 vom 19. Mai 2023</w:t>
      </w:r>
    </w:p>
    <w:p>
      <w:r>
        <w:t>GE Cour de justice, 2023-05-19, FR</w:t>
      </w:r>
    </w:p>
    <w:p>
      <w:r>
        <w:rPr>
          <w:b/>
        </w:rPr>
        <w:t xml:space="preserve">Quelle: </w:t>
      </w:r>
      <w:r>
        <w:t>https://mcp.opencaselaw.ch/entscheid/ge_gerichte_ATAS_349_2023</w:t>
      </w:r>
    </w:p>
    <w:p>
      <w:r>
        <w:t>FR: GE_GERICHTE ATAS/349/2023 du 19 mai 2023</w:t>
      </w:r>
    </w:p>
    <w:p>
      <w:r>
        <w:t>IT: GE_GERICHTE ATAS/349/2023 del 19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61 LPGA, sous réserve de l’art. 1 al. 3 de la loi fédérale du 20 décembre 1968 sur la procédure administrative, la procédure devant le tribunal cantonal des assurances est réglée par le droit cantonal.</w:t>
      </w:r>
    </w:p>
    <w:p>
      <w:r>
        <w:rPr>
          <w:b/>
        </w:rPr>
        <w:t>E. 3.1</w:t>
      </w:r>
    </w:p>
    <w:p>
      <w:r>
        <w:t>L’art. 89B al.1 de la loi sur la procédure administrative du 12 septembre 1985 (LPA – E 5 10), traite de la forme et de l’introduction du recours. Il prévoit que l’acte de recours doit notamment comporter un exposé succinct des faits ou des motifs invoqués (let. b) ainsi que des conclusions (let. c).</w:t>
      </w:r>
    </w:p>
    <w:p>
      <w:r>
        <w:rPr>
          <w:b/>
        </w:rPr>
        <w:t>E. 3.2</w:t>
      </w:r>
    </w:p>
    <w:p>
      <w:r>
        <w:t>L’art. 89B al. 3 stipule que si la lettre ou le mémoire n’est pas conforme à ces règles, la chambre de céans impartit un délai convenable à son auteur pour le compléter en indiquant qu’en cas d’inobservation la demande ou le recours est écarté. De manière similaire, la LPGA précise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(art. 61 let. b LPGA). La chambre de céans a eu plusieurs fois l’occasion de rappeler que le recourant devait présenter un minimum de motivation, soit un exposé, fut-il succinct, des faits, des motifs et des conclusions (ATAS/18/2016 du 11 janvier 2016, consid. 3b ; ATAS/989/2015, du 21 décembre 2015, consid. 2 et ATAS/163/2015 du 3 mars 2015, consid. 3b).</w:t>
      </w:r>
    </w:p>
    <w:p>
      <w:r>
        <w:rPr>
          <w:b/>
        </w:rPr>
        <w:t>E. 4</w:t>
      </w:r>
    </w:p>
    <w:p>
      <w:r>
        <w:t>En l’espèce, l’intéressée n’a pas donné suite à la demande qui lui a été adressée par la chambre de céans, le 11 avril 2023, lui expliquant les conditions rappelées supra et lui fixant un délai raisonnable pour compléter son recours, tout en l’avertissant des conséquences si elle ne s’exécutait pas.</w:t>
      </w:r>
    </w:p>
    <w:p>
      <w:r>
        <w:rPr>
          <w:b/>
        </w:rPr>
        <w:t>E. 5</w:t>
      </w:r>
    </w:p>
    <w:p>
      <w:r>
        <w:t>Compte tenu de ce qui précède, il se justifie d’écarter le recours en application de l’article 89B al. 3 LPA.</w:t>
      </w:r>
    </w:p>
    <w:p>
      <w:r>
        <w:rPr>
          <w:b/>
        </w:rPr>
        <w:t>E. 6</w:t>
      </w:r>
    </w:p>
    <w:p>
      <w:r>
        <w:t>En l’absence de motivation permettant d’établir que la contestation porte sur des prestations de l’AI, la procédure est gratuite (art. 69 al. 1bis LAI a contrario).</w:t>
      </w:r>
    </w:p>
    <w:p>
      <w:r>
        <w:t>A/1196/2023 - 4/4 -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