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ATAS/349/2019 vom 18. April 2019</w:t>
      </w:r>
    </w:p>
    <w:p>
      <w:r>
        <w:t>GE Cour de justice, 2019-04-18, FR</w:t>
      </w:r>
    </w:p>
    <w:p>
      <w:r>
        <w:rPr>
          <w:b/>
        </w:rPr>
        <w:t xml:space="preserve">Quelle: </w:t>
      </w:r>
      <w:r>
        <w:t>https://mcp.opencaselaw.ch/entscheid/ge_gerichte_ATAS_349_2019</w:t>
      </w:r>
    </w:p>
    <w:p>
      <w:r>
        <w:t>FR: GE_GERICHTE ATAS/349/2019 du 18 avril 2019</w:t>
      </w:r>
    </w:p>
    <w:p>
      <w:r>
        <w:t>IT: GE_GERICHTE ATAS/349/2019 del 18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procédure devant la chambre de céans est régie par les dispositions de la LPGA et de la loi sur la procédure administrative, du 12 septembre 1985 (LPA - E 5 10). Interjeté le 28 novembre 2018 contre la décision litigieuse du 30 octobre 2018, le recours a été formé en temps utile (art. 60 al. 1 LPGA). Il satisfait aux exigences de forme et de contenu prévues par l’art. 61 let. b LPGA (cf. aussi art. 89B LPA). Il sera donc déclaré recevable.</w:t>
      </w:r>
    </w:p>
    <w:p>
      <w:r>
        <w:rPr>
          <w:b/>
        </w:rPr>
        <w:t>E. 3</w:t>
      </w:r>
    </w:p>
    <w:p>
      <w:r>
        <w:t>Le litige porte sur le droit de la recourante aux prestations de l’assurance-invalidité.</w:t>
      </w:r>
    </w:p>
    <w:p>
      <w:r>
        <w:rPr>
          <w:b/>
        </w:rPr>
        <w:t>E. 4</w:t>
      </w:r>
    </w:p>
    <w:p>
      <w:r>
        <w:t>Compte tenu de la date de la décision litigieuse, qui détermine l'application dans le temps des règles légales au présent litige (ATF 130 V 447 consid. 1.2.1; ATF 127 V 467 consid. 1), il convient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du 17 janvier 1961 sur l’assurance-invalidité (RAI - RS 831.201) dans sa teneur du 1er décembre 2017 n’est applicable, eu égard au traitement uniforme et égal des assurés, qu’à partir de l’entrée en vigueur de cette modification (arrêt du Tribunal fédéral 9C_553/2017 du 18 décembre 2017 consid. 5 et 6.2).</w:t>
      </w:r>
    </w:p>
    <w:p>
      <w:r>
        <w:rPr>
          <w:b/>
        </w:rPr>
        <w:t>E. 5</w:t>
      </w:r>
    </w:p>
    <w:p>
      <w:r>
        <w:t>a. Selon l’art. 17 al. 1 LPGA, si le taux d’invalidité du bénéficiaire de la rente subit une modification notable, la rente est, d’office ou sur demande, révisée pour l’avenir, à savoir augmentée ou réduite en conséquence, ou encore supprimée. L’art. 17 al. 1 LPGA vise la situation dans laquelle une modification de l'état de fait déterminante sous l'angle du droit à la prestation (inexactitude ultérieure sur les faits) survient après le prononcé d'une décision initiale exempte d'erreur. Dans ce cas, une adaptation peut, le cas échéant, être effectuée dans le cadre d'une révision</w:t>
      </w:r>
    </w:p>
    <w:p>
      <w:r>
        <w:t>A/4182/2018 - 10/21 - de la rente au sens de cette disposition (ATF 135 V 215 consid. 4.1; ATF 127 V 10 consid. 4b). b.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c.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V108 ; ATF 130 V 71) pour apprécier si dans l'intervalle est intervenue une modification sensible du degré d'invalidité justifiant désormais l'octroi d'une rente. d. Tout changement important des circonstances propre à influencer le degré d’invalidité, et donc le droit à la rente, peut motiver une révision au sens de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A/4182/2018 - 11/21 -</w:t>
      </w:r>
    </w:p>
    <w:p>
      <w:r>
        <w:rPr>
          <w:b/>
        </w:rPr>
        <w:t>E. 7</w:t>
      </w:r>
    </w:p>
    <w:p>
      <w:r>
        <w:t>En vertu de l’art. 28 al. 2 LAI, l’assuré a droit à une rente entière s’il est invalide à 70 % au moins, à un trois-quarts de rente s'il est invalide à 60%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9</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b. Sans remettre en cause le principe de la libre appréciation des preuves, le Tribunal fédéral a posé des lignes directrices en ce qui concerne la manière d'apprécier certains types d'expertises ou de rapports médicaux.</w:t>
      </w:r>
    </w:p>
    <w:p>
      <w:r>
        <w:t>A/4182/2018 - 12/21 -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pour déterminer s’il y a eu une modification notable du degré d’invalidité de la recourante, il convient de comparer la situation telle qu’elle se présentait au moment de la décision litigieuse, soit le 30 octobre 2018, avec les circonstances qui prévalaient au moment de la décision du 24 avril 2013. a. Il ressort de l’instruction menée en amont de la décision du 24 avril 2013 que bien que le Dr B______ ait diagnostiqué des cervico-brachialgies périodiques, des lombalgies quasi-permanentes (protrusion discale L4-L5), une arthrose interapophysaire L4-L5, des séquelles d’une maladie de Scheuermann), des céphalées mixtes, migraineuses et tensionnelles, diagnostics valables depuis 1997- 1998, auxquels s’ajoutaient des gonalgies périodiques, de l’hypotension, un reflux gastro-œsophagien et une gastrite chronique, l’intimé a fait sien l’avis du 11 février 2013 du SMR, lequel concluait, à la lumière du rapport d’expertise neurologique du 21 décembre 2012, qu’il n’y a pas de diagnostic incapacitant permettant de retenir</w:t>
      </w:r>
    </w:p>
    <w:p>
      <w:r>
        <w:t>A/4182/2018 - 13/21 - des limitations fonctionnelles, de sorte que la capacité de travail de la recourante était entière dans toute activité lucrative. b. Suite à la nouvelle demande de prestations formée le 6 juillet 2017, l’intimé retient que la recourante présente une incapacité de travail totale dans son activité habituelle de femme de ménage depuis au moins vingt ans, dans toutes les activités qui ne respectent pas les limitations d’épargne du dos et du cou. Dans les activités respectant strictement les limitations fonctionnelles ophtalmologiques (mauvaise vision d’un œil) et d’épargne du dos, du cou et du genou gauche, essentiellement sédentaires, (pas de port de charges de plus de 5 kg, ni de station debout prolongée, ni de montées et descentes répétées d’escaliers, ni d’activité penchée en avant ou en porte-à-faux, ni de rotation répétée du tronc et du cou, ni de marche en terrain instable ou accidenté, ni de changement de position assis-debout), sa capacité de travail est entière depuis toujours. Pour parvenir à ces conclusions le Dr I______ se fonde sur le rapport ophtalmologique du 21 novembre 2017 du Dr H______ et celui du 10 janvier 2018 du Dr B______. Dans la mesure où ce dernier y énumère des diagnostics qu’il mentionnait déjà dans son rapport à l’OAI du 11 février 2008, dont l’absence de caractère incapacitant (et de limitations fonctionnelles), constaté par expertise du 21 décembre 2012, avait conduit la chambre de céans, par arrêt du 15 janvier 2014, à retenir une capacité de travail pleine et entière dans toute activité lucrative, on peut se demander si le SMR n’a pas procédé, en définitive, à une appréciation différente d’un même état de fait, situation qui ferait obstacle à une révision, faute d’inexactitude ultérieure sur les faits (cf. ci-dessus : consid. 6c). Tel n’est cependant pas le cas, compte tenu de la dystrophie maculaire de l’œil droit, apparue au début de l’année 2016 environ. Dans un arrêt du 21 janvier 2015, le Tribunal fédéral a en effet considéré que lorsque le tableau clinique se modifie en raison de l’apparition d’un diagnostic supplémentaire depuis la dernière décision entrée en force, on est en présence d’une modification de l’état de fait propre à conduire à une appréciation différente du droit à la rente (ATF 141 V 9 consid. 5.3). En conséquence, l’intimé était fondé, dans le cas d’espèce, à procéder à nouvelle évaluation de l'état de santé et de la capacité de travail de la recourante. Étant donné que la dystrophie maculaire apparue d’un côté en 2016 se traduit uniquement par une baisse de l’acuité visuelle de l’œil droit et qu’il ne ressort pas du rapport du 10 janvier 2018 du Dr B______ que les autres diagnostics existant depuis huit ans (gonalgies gauches), voire au moins vingt ans (cervicalgies, lombalgies et céphalées), auraient connu une aggravation importante, l’avis du SMR du 17 juillet 2018 apparaît convaincant en tant qu’il retient l’existence d’une incapacité de travail totale, depuis au moins vingt ans, dans toutes les activités ne respectant pas les limitations d’épargne du dos et du cou et une capacité de travail entière, depuis toujours, dans les activités respectant strictement les limitations fonctionnelles ophtalmologiques (mauvaise vision d’un œil), d’épargne du dos, du cou et du genou gauche, essentiellement sédentaires.</w:t>
      </w:r>
    </w:p>
    <w:p>
      <w:r>
        <w:t>A/4182/2018 - 14/21 - Dans son rapport du 10 janvier 2018, le Dr B______ indique pour sa part que la capacité de travail de la recourante serait nulle depuis le 26 août 2016 dans sa dernière activité, précisant qu’elle ne pourrait ni soulever ni déplacer ni porter des objets de plus de 5 kg. Sans se prononcer sur l’exigibilité de l’exercice d’une activité adaptée au handicap, ce médecin précise que les capacités de concentration, compréhension et d’adaptation de la recourante ne sont pas limitées mais que sa résistance est limitée en raison de la fatigabilité, de l’hypotension, des gonalgies et des lombalgies. Dans ces circonstances, ni le rapport du le rapport du 21 novembre 2017 du Dr H______ – qui constate une acuité visuelle de l’œil droit diminuée à 60 % –, ni celui du 10 janvier 2018 du Dr B______ ne laissent subsister des doutes, même faibles, quant à la fiabilité ou à la pertinence des constatations effectuées par le SMR. Aussi la chambre de céans considérera-t-elle qu’il est établi, au degré de la vraisemblance prépondérante, que la recourante présente une capacité de travail entière dans une activité adaptée aux limitations fonctionnelles retenues le 17 juillet 2018 par le SMR.</w:t>
      </w:r>
    </w:p>
    <w:p>
      <w:r>
        <w:rPr>
          <w:b/>
        </w:rPr>
        <w:t>E. 12</w:t>
      </w:r>
    </w:p>
    <w:p>
      <w:r>
        <w:t>L’intimé a retenu que la recourante aurait exercé aujourd’hui une activité lucrative au taux de 17,5 % sans invalidité et se serait consacré à son ménage le reste du temps. Celle-ci ne conteste pas ce statut mixte, de sorte qu’il y a lieu d’établir son degré d’invalidité sur la base d’une activité lucrative de ce pourcentage et des travaux habituels dans le ménage au taux de 82,5 %.</w:t>
      </w:r>
    </w:p>
    <w:p>
      <w:r>
        <w:rPr>
          <w:b/>
        </w:rPr>
        <w:t>E. 13</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w:t>
      </w:r>
    </w:p>
    <w:p>
      <w:r>
        <w:t>A/4182/2018 - 15/21 -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w:t>
      </w:r>
    </w:p>
    <w:p>
      <w:r>
        <w:rPr>
          <w:b/>
        </w:rPr>
        <w:t>E. 14</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t>A/4182/2018 - 16/21 -</w:t>
      </w:r>
    </w:p>
    <w:p>
      <w:r>
        <w:rPr>
          <w:b/>
        </w:rPr>
        <w:t>E. 15</w:t>
      </w:r>
    </w:p>
    <w:p>
      <w:r>
        <w:t>a.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b. Le revenu sans invalidité se détermine en règle générale d'après le dernier salaire que l'assuré a obtenu avant l'atteinte à la santé, en tenant compte de l'évolution des salaires jusqu'au moment du prononcé de la décision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w:t>
      </w:r>
    </w:p>
    <w:p>
      <w:r>
        <w:t>A/4182/2018 - 17/21 - d. Suite à l’arrêt CourEDH n° 7186/09 Di Trizio c. Suisse du 2 février 2016, le Conseil fédéral a modifié l'art. 27bis al. 2 à 4 RAI, entré en vigueur le 1er janvier 2018. Cet article, applicable au cas d'espèce, la décision litigieuse étant postérieure à son entrée en vigueur (cf. ci-dessus : consid. 4), dispose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16</w:t>
      </w:r>
    </w:p>
    <w:p>
      <w:r>
        <w:t>En l’espèce, le rapport du SMR du 17 juillet 2018 ne précise pas la diminution de rendement subie par la recourante dans une activité adaptée, ni ne détermine le genre d’activité concrètement exigible de sa part puisqu’il décrit uniquement ses limitations fonctionnelles. Il est vrai que l'administration doit en principe examiner quelles possibilités de réadaptation concrètes existent pour l'assuré, compte tenu de l'ensemble des circonstances, en particulier de ses caractéristiques physiques et</w:t>
      </w:r>
    </w:p>
    <w:p>
      <w:r>
        <w:t>A/4182/2018 - 18/21 - psychiques ainsi que de sa situation professionnelle et sociale, considérées de manière objective (ATF 113 V 28 consid. 4a, 109 V 28; Jürg MAESCHI, Kommentar zum Bundesgesetz über die Militärversicherung [MVG] vom 19. Juni 1992, n°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des assurances I 636/06 du 22 septembre 2006 consid. 3.2).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(ci-après : OFS).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 sous réserve d'une diminution du rendement de l'assuré dans les activités raisonnablement exigibles de sa part (arrêt du Tribunal fédéral I 778/05 du 11 janvier 2007 consid. 6.2).</w:t>
      </w:r>
    </w:p>
    <w:p>
      <w:r>
        <w:rPr>
          <w:b/>
        </w:rPr>
        <w:t>E. 17</w:t>
      </w:r>
    </w:p>
    <w:p>
      <w:r>
        <w:t>a. En l’occurrence, le SMR considère que la recourante pouvait exercer à plein temps toute activité respectant strictement les limitations fonctionnelles ophtalmologiques (mauvaise vision d’un œil), d’épargne du dos, du cou et du genou gauche, et qui fût essentiellement sédentaire (pas de port de charges de plus de 5 kg, ni de station debout prolongée, ni de montées et descentes répétées d’escaliers, ni d’activité penchée en avant ou en porte-à-faux, ni de rotation répétée du tronc et du cou, ni de marche en terrain instable ou accidenté, ni de changement de position assis-debout). Dès lors que le marché du travail offre un éventail suffisamment large d'activités légères (cf. notamment l’arrêt du Tribunal fédéral 9C_279/2008 du 16 décembre 2008 consid. 4), dont on doit convenir qu'un nombre significatif sont adaptées aux limitations de la recourante et accessibles sans aucune formation particulière, l’intimé pouvait évaluer la capacité résiduelle de gain de la recourante en se référant au marché équilibré du travail et aux données salariales publiées par l’OFS. b. Dans son calcul de la perte de gain du 24 septembre 2018, l’intimé a pris en considération un salaire avec invalidité en 2017 de CHF 9'575.83 pour un taux d’activité de 17.5 %, sur la base de l’enquête suisse des salaires (ESS) 2014, après l'avoir adapté à la durée normale hebdomadaire de travail et l’avoir indexé à l’évolution des salaires entre 2014 et 2017. Cela, fait, l’intimé a comparé ce revenu avec celui que la recourante aurait, au degré de la vraisemblance prépondérante, réellement pu obtenir en 2017 si elle avait continué à exercer son activité de femme</w:t>
      </w:r>
    </w:p>
    <w:p>
      <w:r>
        <w:t>A/4182/2018 - 19/21 - de ménage au-delà de 2005. Pour ce faire, il s’est référé aux revenus réalisés par la recourante dans son dernier emploi de CHF 11'234.-, après adaptation à l’évolution des salaires nominaux entre 2005 et 2017. Toutefois, dès lors que la recourante était sans emploi au moment de la survenance de sa première période d’incapacité de travail attestée en 2006 (cf. rapport du 11 février 2008 du Dr B______), il y aurait lieu de se fonder sur les salaires statistiques également pour établir le revenu de valide, lesquels sont inférieurs au montant de CHF 11'234.-. Cette question peut cependant rester ouverte, au vu de ce qui suit. En admettant avec l’intimé un salaire sans invalidité de CHF 11'234.- en 2017, il y a lieu en principe d’effectuer un abattement de 10 % des salaires statistiques pour tenir compte des limitations fonctionnelles et de l’âge de la recourante. La perte de gain dans la sphère professionnelle s’établit ainsi à 23,28 % ([11'234 – 90 % de 9'575.83] x 100 : 11'234) respectivement, au taux de 17,5 %, à 4 %. Le point de savoir si une déduction plus importante serait mieux appropriée dans le cas particulier peut rester indécis, dès lors que même une déduction de 25 % ne conduirait pas à un taux d’invalidité ouvrant droit à une rente, comme exposé ci- après. c. Concernant les travaux habituels, la recourante soutient que la perte économique serait supérieure aux 18 % retenus dans le rapport d’enquête ménagère du 24 septembre 2018. Ce point de vue, au demeurant non motivé, ne saurait être suivi dès lors que le rapport en question a été élaboré par une personne qualifiée ayant connaissance de la situation locale et spatiale, ainsi que des empêchements et des handicaps résultant des diagnostics médicaux. La prise en considération d’une exigibilité de 25 % à la charge des personnes partageant le ménage de la recourante (mari et fille) ne prête pas non plus le flanc à la critique. Enfin, ce rapport tient compte des indications de la recourante, apparaît plausible, motivé et rédigé de manière suffisamment détaillée par rapport aux différentes limitations, de sorte qu’il convient de lui reconnaître pleine valeur probante. Par conséquent, la chambre de céans s’en tiendra, pour les travaux habituels, à l’empêchement pondéré avec exigibilité de 18 % déterminé par l’intimé respectivement, pour un taux d’occupation de 82,5 % dans le ménage, de 14,85 %. d. Le degré d’invalidité total s’établit ainsi à 18.85 % (4 % + 14.85 %). Ce taux n’ouvre pas le droit à une rente. Il convient de relever à cet égard que même en reconnaissant à la recourante une incapacité de travail totale dans toute activité lucrative, son degré d’invalidité total serait toujours inférieur à 40 %.</w:t>
      </w:r>
    </w:p>
    <w:p>
      <w:r>
        <w:rPr>
          <w:b/>
        </w:rPr>
        <w:t>E. 18</w:t>
      </w:r>
    </w:p>
    <w:p>
      <w:r>
        <w:t>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w:t>
      </w:r>
    </w:p>
    <w:p>
      <w:r>
        <w:t>A/4182/2018 - 20/21 -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w:t>
      </w:r>
    </w:p>
    <w:p>
      <w:r>
        <w:rPr>
          <w:b/>
        </w:rPr>
        <w:t>E. 19</w:t>
      </w:r>
    </w:p>
    <w:p>
      <w:r>
        <w:t>En l’espèce, la recourante ne conclut pas expressément à l’octroi de mesures professionnelles, même si elle conteste le refus de celles-ci, sans préciser pour quelle raison. En tout état de cause, elle ne semble pas considérer qu’elle dispose encore d’une capacité de travail dans une activité légère sédentaire, même au taux d’occupation très restreint de 17,5 %. En effet, déjà lors de l’expertise neurologique en décembre 2012 par le Dr C______, elle a déclaré qu’elle ne se sentait pas capable de travailler et qu’elle attendait une rente d’invalidité. Il n’est pas non plus établi qu’elle ait essayé de retrouver un emploi dans une activité adaptée depuis son incapacité de travail définitive dans son activité habituelle en janvier 2007, avant même la survenance de ses problèmes de vue. Cela étant, une mesure de réadaptation professionnelle serait selon toute vraisemblance vouée à l’échec, en l’absence d’une motivation suffisante de la recourante pour reprendre une activité lucrative.</w:t>
      </w:r>
    </w:p>
    <w:p>
      <w:r>
        <w:rPr>
          <w:b/>
        </w:rPr>
        <w:t>E. 20</w:t>
      </w:r>
    </w:p>
    <w:p>
      <w:r>
        <w:t>Au vu de ce qui précède, le recours sera rejeté.</w:t>
      </w:r>
    </w:p>
    <w:p>
      <w:r>
        <w:rPr>
          <w:b/>
        </w:rPr>
        <w:t>E. 21</w:t>
      </w:r>
    </w:p>
    <w:p>
      <w:r>
        <w:t>La procédure n’est pas gratuite (art. 69 al. 1bis LAI). Toutefois, dès lors que la recourante et sa famille sont prises en charge par l’Hospice général, il sera renoncé à percevoir un émolument.</w:t>
      </w:r>
    </w:p>
    <w:p>
      <w:r>
        <w:t>***</w:t>
      </w:r>
    </w:p>
    <w:p>
      <w:r>
        <w:t>A/4182/2018 - 21/21 -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