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ATAS/349/2015 vom 4. Mai 2015</w:t>
      </w:r>
    </w:p>
    <w:p>
      <w:r>
        <w:t>GE Cour de justice, 2015-05-04, FR</w:t>
      </w:r>
    </w:p>
    <w:p>
      <w:r>
        <w:rPr>
          <w:b/>
        </w:rPr>
        <w:t xml:space="preserve">Quelle: </w:t>
      </w:r>
      <w:r>
        <w:t>https://mcp.opencaselaw.ch/entscheid/ge_gerichte_ATAS_349_2015</w:t>
      </w:r>
    </w:p>
    <w:p>
      <w:r>
        <w:t>FR: GE_GERICHTE ATAS/349/2015 du 4 mai 2015</w:t>
      </w:r>
    </w:p>
    <w:p>
      <w:r>
        <w:t>IT: GE_GERICHTE ATAS/349/2015 del 4 maggio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l’assurance-invalidité, du 19 juin 1959,</w:t>
      </w:r>
    </w:p>
    <w:p>
      <w:r>
        <w:rPr>
          <w:b/>
        </w:rPr>
        <w:t>E. 2</w:t>
      </w:r>
    </w:p>
    <w:p>
      <w:r>
        <w:t>A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w:t>
      </w:r>
    </w:p>
    <w:p>
      <w:r>
        <w:t>A/743/2015 - 3/5 -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Selon l'art. 81 LPA la demande de révision doit être adressée par écrit à la juridiction qui a rendu la décision dans les 3 mois de la découverte du motif de révision (al.1). Les articles 64 et 65 sont applicables par analogie. La demande doit, en particulier, indiquer le motif de révision et contenir les conclusions du requérant pour le cas où la révision serait admise et une nouvelle décision prise (al.3).</w:t>
      </w:r>
    </w:p>
    <w:p>
      <w:r>
        <w:rPr>
          <w:b/>
        </w:rPr>
        <w:t>E. 3</w:t>
      </w:r>
    </w:p>
    <w:p>
      <w:r>
        <w:t>Selon l'art. 17 al. 5 LPA, les délais sont réputés observés lorsqu’une partie s’adresse par erreur en temps utile à une autorité incompétente.</w:t>
      </w:r>
    </w:p>
    <w:p>
      <w:r>
        <w:rPr>
          <w:b/>
        </w:rPr>
        <w:t>E. 4</w:t>
      </w:r>
    </w:p>
    <w:p>
      <w:r>
        <w:t>Lorsque le tribunal estime que le motif de révision est établi, il doit annuler totalement ou partiellement l'arrêt rendu et statuer à nouveau au fond (cf. BOVAY, Procédure administrative, éd. Staempfli, p. 441).</w:t>
      </w:r>
    </w:p>
    <w:p>
      <w:r>
        <w:rPr>
          <w:b/>
        </w:rPr>
        <w:t>E. 5</w:t>
      </w:r>
    </w:p>
    <w:p>
      <w:r>
        <w:t>mars 2015 lui impartissant un délai au 16 mars 2015 pour lui retourner le recours signé, a déclaré le recours irrecevable. Cet arrêt a été notifié aux parties par le greffe le 9 avril 2015. Par courrier du 15 avril 2015 reçu le 17, l'intimé a saisi la chambre de céans d'une demande de révision de cette décision, en faisant valoir que la recourante avait bien retourné le recours signé dans le délai imparti au 16 mars 2015, mais qu’elle l’avait par erreur adressé à l’OCAS (qui l'a reçu le 13 mars 2015), et que c’est en raison d’un dysfonctionnement dans l’acheminement du courrier que le recours signé n’était pas parvenu à la chambre de céans. Il a conclu à ce que le recours de l'assuré soit déclaré recevable, de sorte que la demande de révision a été formée dans les formes et délai prescrit par l'art. 81 LPA. Le motif de révision est établi, dès lors que la chambre de céans, au moment de statuer, était dans l'ignorance du fait que la recourante avait bien retourné, dans le délai qui lui avait été imparti, le recours signé, mais en l'adressant à l'intimé, autorité incompétente en l'espèce au sens de l'art. 17 al. 5 LPA, laquelle aurait dû le transmettre d'office à la chambre de céans (art. 64 al.2 LPA par analogie).</w:t>
      </w:r>
    </w:p>
    <w:p>
      <w:r>
        <w:t>A/743/2015 - 4/5 - La demande de révision étant dès lors recevable et fondée, l'arrêt de la chambre de céans du 7 avril 2015 – ATAS/247/2015 - sera annulé, et il sera fait droit aux conclusions de l'intimé, le recours de l'assurée étant ainsi déclaré recevable. La cause étant reprise à ses derniers errements, il sera préparatoirement sur le fond imparti un délai à l'intimé pour transmettre son dossier et sa réponse au recours à la chambre de céans. Pour le surplus la procédure est gratuite.</w:t>
      </w:r>
    </w:p>
    <w:p>
      <w:r>
        <w:t>A/743/2015 - 5/5 - PAR CES MOTIFS, LA CHAMBRE DES ASSURANCES SOCIALES :</w:t>
      </w:r>
    </w:p>
    <w:p>
      <w:r>
        <w:t>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