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ATAS/349/2011 vom 7. September 2010</w:t>
      </w:r>
    </w:p>
    <w:p>
      <w:r>
        <w:t>GE Cour de justice, 2010-09-07, FR</w:t>
      </w:r>
    </w:p>
    <w:p>
      <w:r>
        <w:rPr>
          <w:b/>
        </w:rPr>
        <w:t xml:space="preserve">Quelle: </w:t>
      </w:r>
      <w:r>
        <w:t>https://mcp.opencaselaw.ch/entscheid/ge_gerichte_ATAS_349_2011</w:t>
      </w:r>
    </w:p>
    <w:p>
      <w:r>
        <w:t>FR: GE_GERICHTE ATAS/349/2011 du 7 septembre 2010</w:t>
      </w:r>
    </w:p>
    <w:p>
      <w:r>
        <w:t>IT: GE_GERICHTE ATAS/349/2011 del 7 settembre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w:t>
      </w:r>
    </w:p>
    <w:p>
      <w:r>
        <w:t>A/289/2011 3/6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avoirs du seul demandeur. Les dates pertinentes sont, d’une part, le 6 mai 1978, date du mariage, d’autre part le 8 octobre 2010,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w:t>
      </w:r>
    </w:p>
    <w:p>
      <w:r>
        <w:t>A/289/2011 4/6 mariage et qui profitent au conjoint affilié à l'institution de prévoyance, sont destinés à compenser l'inflation (ATF 128 V 230).</w:t>
      </w:r>
    </w:p>
    <w:p>
      <w:r>
        <w:rPr>
          <w:b/>
        </w:rPr>
        <w:t>E. 5</w:t>
      </w:r>
    </w:p>
    <w:p>
      <w:r>
        <w:t>Selon les documents produits, la prestation acquise pendant le mariage par le demandeur s'élève à 1'706'981 fr. 55. Ainsi le demandeur doit à son ex-épouse le montant de 853'490 fr. 80 (1'706'981.55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La demanderesse étant domiciliée aux Pays-Bas, se pose à présent la question de savoir si le montant qui lui est dû peut lui être versé en espèces ou doit l'être sur un compte de prévoyance. Conformément à l'Accord sur la libre circulation des personnes (ALCP; art. 8 et annexe II), ce sont principalement les règlements CEE nos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départ définitif de Suisse (art. 5 al. 1 let. a LFLP) subit en revanche quelques restrictions. En effet, le règlement CEE n° 1408/71 interdit le versement en espèces lorsque l'assuré qui quitte la Suisse est assujetti à l'assurance obligatoire d'un Etat membre de l'UE ou de l'AELE (art. 10 al. 2). Il en résulte que la partie obligatoire de la prestation de sortie doit être déposée sur une police ou sur un compte de libre passage. Ces restrictions sont entrées en vigueur le 1er juin 2007, à l'échéance d'un délai transitoire de cinq ans à compter de l'entrée en vigueur de l'ALCP. A noter que c'est la date du départ définitif qui détermine la réglementation applicable au versement. Si la personne concernée n'est pas assujettie à l'assurance obligatoire d'un Etat membre de l'UE (la preuve doit en être apportée par l'intéressé) ou si la prestation est utilisée à des fins d'acquisition d'un logement, il y aura toujours la possibilité d'un versement en espèces.</w:t>
      </w:r>
    </w:p>
    <w:p>
      <w:r>
        <w:t>A/289/2011 5/6 En l'espèce, force est de constater que la demanderesse n'a jamais été assujettie en Suisse. L'art. 10 ALCP ne lui est donc pas applicable, d'autant qu'il est entré en vigueur postérieurement à son départ de Suisse. Rien ne s'oppose donc à ce que le montant qui lui est dû par son ex-époux lui soit versé en espèces.</w:t>
      </w:r>
    </w:p>
    <w:p>
      <w:r>
        <w:rPr>
          <w:b/>
        </w:rPr>
        <w:t>E. 8</w:t>
      </w:r>
    </w:p>
    <w:p>
      <w:r>
        <w:t>Aucun émolument ne sera perçu, la procédure étant gratuite (art. 73 al. 2 LPP et 89H al. 1 de la loi sur la procédure administrative du 12 septembre 1985).</w:t>
      </w:r>
    </w:p>
    <w:p>
      <w:r>
        <w:t>A/289/2011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