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ATAS/349/2008 vom 25. März 2008</w:t>
      </w:r>
    </w:p>
    <w:p>
      <w:r>
        <w:t>GE Cour de justice, 2008-03-25, FR</w:t>
      </w:r>
    </w:p>
    <w:p>
      <w:r>
        <w:rPr>
          <w:b/>
        </w:rPr>
        <w:t xml:space="preserve">Quelle: </w:t>
      </w:r>
      <w:r>
        <w:t>https://mcp.opencaselaw.ch/entscheid/ge_gerichte_ATAS_349_2008</w:t>
      </w:r>
    </w:p>
    <w:p>
      <w:r>
        <w:t>FR: GE_GERICHTE ATAS/349/2008 du 25 mars 2008</w:t>
      </w:r>
    </w:p>
    <w:p>
      <w:r>
        <w:t>IT: GE_GERICHTE ATAS/349/2008 del 25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7 septembre 2007 et statuant sur un état de fait juridiquement déterminant remontant à l'année 2004,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L'objet du litige porte sur le droit de l'assuré à des prestations AI et plus particulièrement, sur son degré d'invalidité.</w:t>
      </w:r>
    </w:p>
    <w:p>
      <w:r>
        <w:rPr>
          <w:b/>
        </w:rPr>
        <w:t>E. 5</w:t>
      </w:r>
    </w:p>
    <w:p>
      <w:r>
        <w:t>Est réputée invalidité, l'incapacité de gain totale ou partielle présumée permanente ou de longue durée, résultant d'une infirmité congénitale, d'une maladie ou d'un</w:t>
      </w:r>
    </w:p>
    <w:p>
      <w:r>
        <w:t>A/3801/2007 - 7/15 -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7</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t>A/3801/2007 - 8/15 -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8</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10</w:t>
      </w:r>
    </w:p>
    <w:p>
      <w:r>
        <w:t>La question litigieuse que le Tribunal de céans doit trancher consiste à savoir si c'est à juste titre que l'OCAI a refusé toute prestation au recourant, c'est-à-dire de déterminer si les atteintes subies par le recourant à sa santé physique et mentale doivent ou non être considérées comme invalidantes au sens de la LAI et donc ouvrir le droit aux prestations prévues par cette loi, notamment les mesures d'ordre professionnel (conclusion principale du recourant) ou la rente (conclusion subsidiaire du recourant).</w:t>
      </w:r>
    </w:p>
    <w:p>
      <w:r>
        <w:rPr>
          <w:b/>
        </w:rPr>
        <w:t>E. 11</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Une maladie, un accident ou une infirmité congénitale peuvent provoquer une atteinte à la santé à l'origine de l'invalidité (art. 4 al. 1 LAI). Est réputée incapacité de gain toute diminution de l'ensemble ou d'une partie des possibilités de</w:t>
      </w:r>
    </w:p>
    <w:p>
      <w:r>
        <w:t>A/3801/2007 - 9/15 - gain de l'assuré sur le marché du travail équilibré qui entre en considération, si cette diminution résulte d'une atteinte à sa santé physique ou mentale et qu'elle persiste après les traitements et les mesures de réadaptation exigibles (art. 7 LPGA).</w:t>
      </w:r>
    </w:p>
    <w:p>
      <w:r>
        <w:rPr>
          <w:b/>
        </w:rPr>
        <w:t>E. 12</w:t>
      </w:r>
    </w:p>
    <w:p>
      <w:r>
        <w:t>En l'espèce, le Dr D_________ considère que son patient est totalement incapable de travailler, quelle que soit l'activité envisagée, ce depuis le 1er mars 1995. Il y a à cet égard lieu de relever que le 20 septembre 2000, la commission cantonale de recours AVS-AI a rendu un jugement, entré en force, selon lequel l'assuré présentait une capacité de travail de 100% dans une activité adaptée à ses limitations, et un degré d'invalidité de 31%, soit un degré insuffisant pour justifier l'octroi d'une rente. Il s'agit dès lors d'examiner les faits tels qu'ils se présentent depuis la décision de refus de prestations, confirmée par le jugement de la commission cantonale de recours AVS-AI L'OCAI s'est fondé sur le rapport des Drs F_________ et G_________ du 16 août 2006 pour conclure à une capacité de travail exigible dans l'activité habituelle d'employé d'entretien de 50% et dans une activité adaptée de 70% depuis mars 2003. L'état de santé de l'assuré s'est ainsi indéniablement aggravé, et sa capacité de travail s'en trouve diminuée. Il convient à cet égard de relever que le rapport du 16 août 2006 remplit tous les réquisits de la jurisprudence permettant de lui attribuer pleine valeur probante. Les médecins ont précisément décrit les atteintes à la santé dont souffrait l'assuré, quelles limitations elles entrainaient et ont expliqué en quoi il y avait eu aggravation. Leurs conclusions sont claires et bien motivées, de sorte que le Tribunal de céans n'a aucun motif de s'en écarter. L'assuré conteste les taux retenus par les médecins du SMR, lesquels sont, selon lui, sous-estimés. Il y a dès lors lieu d'examiner si le dossier contient des indices concrets permettant de remettre en question les conclusions de ce rapport. Force est de constater que tel n'est pas le cas. En effet le Dr D_________ se borne à dire que son patient est incapable de travailler à 100% depuis mars 1995. Le Dr E_________ indique, tout comme les médecins du SMR du reste, que l'assuré peut travailler comme concierge à mi-temps, mais ne se détermine pas sur la capacité exigible dans une activité adaptée. Les taux retenus par les Drs F_________ et G_________ doivent en conséquence être confirmés.</w:t>
      </w:r>
    </w:p>
    <w:p>
      <w:r>
        <w:rPr>
          <w:b/>
        </w:rPr>
        <w:t>E. 13</w:t>
      </w:r>
    </w:p>
    <w:p>
      <w:r>
        <w:t>Reste à déterminer le degré d'invalidité.</w:t>
      </w:r>
    </w:p>
    <w:p>
      <w:r>
        <w:rPr>
          <w:b/>
        </w:rPr>
        <w:t>E. 14</w:t>
      </w:r>
    </w:p>
    <w:p>
      <w:r>
        <w:t>Selon l'art. 28 al. 1 LAI dans sa teneur en vigueur jusqu'au 31 décembre 2003, l'assuré a droit à une rente entière s'il est invalide à 66 2/3% au moins, à une demi- rente s'il est invalide à 50% au moins, ou à un quart de rente s'il est invalide à 40% au moins. L'entrée en vigueur de la 4ème révision de la LAI a modifié la teneur de l'art. 28 al. 1 LAI relatif à l'échelonnement des rentes selon le taux d'invalidité.</w:t>
      </w:r>
    </w:p>
    <w:p>
      <w:r>
        <w:t>A/3801/2007 - 10/15 -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w:t>
      </w:r>
    </w:p>
    <w:p>
      <w:r>
        <w:rPr>
          <w:b/>
        </w:rPr>
        <w:t>E. 15</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(ci-après ESS;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w:t>
      </w:r>
    </w:p>
    <w:p>
      <w:r>
        <w:t>A/3801/2007 - 11/15 - permet de tenir compte des différents éléments qui peuvent influencer le revenu d'une activité lucrative (cf. ATF 126 V 78 consid. 5). Le TFA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 il doit s'appuyer sur des circonstances de nature à faire apparaître sa propre appréciation comme la mieux appropriée (ATF 126 V 75 consid. 6 p. 81, 123 V 150 consid. 2 et les références p. 152).</w:t>
      </w:r>
    </w:p>
    <w:p>
      <w:r>
        <w:rPr>
          <w:b/>
        </w:rPr>
        <w:t>E. 16</w:t>
      </w:r>
    </w:p>
    <w:p>
      <w:r>
        <w:t>En l'espèce, le calcul auquel a procédé l'OCAI pour calculer le degré d'invalidité est conforme aux dispositions légales et réglementaires applicables, ainsi qu'à la jurisprudence du TFA. Il n'a cependant tenu compte d'aucun abattement supplémentaire, considérant qu'une déduction spécifique pour tenir compte des limitations fonctionnelles de</w:t>
      </w:r>
    </w:p>
    <w:p>
      <w:r>
        <w:t>A/3801/2007 - 12/15 - l'assuré avait déjà été opérée dans le cadre de l'estimation de sa capacité résiduelle de travail, et que ce facteur n'avait pas à être retenu une seconde fois pour procéder à la déduction du salaire statistique. Ce faisant toutefois, il a ignoré l'âge de l'assuré, ainsi que le fait que seul l'exercice d'une activité partielle lui est possible, tous éléments qu'il convient précisément de prendre en considération dans le cadre d'une réduction supplémentaire. Le Tribunal de céans considère dès lors qu'il se justifierait, au vu de la jurisprudence susmentionnée, de tenir compte d'un taux de 10%. Le degré d'invalidité obtenu ne dépasserait cependant pas 38%, degré restant insuffisant pour ouvrir droit à une rente d'invalidité.</w:t>
      </w:r>
    </w:p>
    <w:p>
      <w:r>
        <w:rPr>
          <w:b/>
        </w:rPr>
        <w:t>E. 17</w:t>
      </w:r>
    </w:p>
    <w:p>
      <w:r>
        <w:t>Ce degré de 38% permet en revanche la prise en charge éventuelle de mesures de réadaptation professionnelles (VSI 2000 p. 63). Selon l'art. 8 al. 1 LAI, en sa nouvelle teneur en vigueur depuis le 1er janvier 2004 (4ème révision AI), les assurée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LAI; cf. également art. 15 à 18 LAI). Il faut entendre par reclassement au sens de l'art. 17 LAI l'ensemble des mesures de réadaptation d'ordre professionnel, nécessaire et adéquate destiné à procurer de manière approprié une nouvelle capacité de gain, à peu près équivalente à celle de l'activité antérieure, aux assurés qui ne peuvent plus en raison d'une invalidité survenue ou imminente exercer leur métier ou leur activité lucrative antérieure ou accomplir leurs travaux habituels. L'exigence d'une équivalence approximative entre l'activité exercée avant la survenance de l'invalidité et celle accomplie après une mesure de reclassement porte avant tout sur les perspectives de gain. Mais pour être certain que le revenu réalisé dans la nouvelle profession soit environ du même ordre à terme (carrière) que celui que procurerait l'activité initiale, il faut que les deux formations considérées présentent une valeur intrinsèque qui puisse soutenir la comparaison (RCC 1988 p. 494; VSI 1997 p. 84). L'exigence d'équivalence limite le droit au reclassement "vers le haut". Il n'appartient pas à l'AI de placer un assuré dans une position économique et professionnelle meilleure que celle qu'elle occupait auparavant (Circulaire concernant les mesures de réadaptation d'ordre professionnel N° 4001 et ss.). 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qui ne seront pas allouées si</w:t>
      </w:r>
    </w:p>
    <w:p>
      <w:r>
        <w:t>A/3801/2007 - 13/15 -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w:t>
      </w:r>
    </w:p>
    <w:p>
      <w:r>
        <w:rPr>
          <w:b/>
        </w:rPr>
        <w:t>E. 18</w:t>
      </w:r>
    </w:p>
    <w:p>
      <w:r>
        <w:t>En l'espèce, l'OCAI n'a envisagé aucune mesure de réadaptation professionnelle en faveur de l'assuré, considérant qu'elle ne serait ni simple, ni adéquate et ne respecterait pas le principe de l'équivalence. Il s'avère en effet qu'il existe différents secteurs d'activité dans lesquels l'assuré serait en mesure de mettre en valeur sa capacité résiduelle de travail, compte tenu de ses limitations. Il y a ainsi lieu d'admettre, avec l'intimé, qu'une mesure de réadaptation ne serait pas indiquée.</w:t>
      </w:r>
    </w:p>
    <w:p>
      <w:r>
        <w:rPr>
          <w:b/>
        </w:rPr>
        <w:t>E. 19</w:t>
      </w:r>
    </w:p>
    <w:p>
      <w:r>
        <w:t>S'agissant en revanche du placement, il y a lieu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dont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 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w:t>
      </w:r>
    </w:p>
    <w:p>
      <w:r>
        <w:t>A/3801/2007 - 14/15 - partiellement, d'être réadaptée (MEYER-BLASER, op. cit. p. 85, VSI 2002 consid. 2 p. 112 [I 370/98]). Il appartiendra à l'assuré de solliciter, le cas échéant, une telle mesure.</w:t>
      </w:r>
    </w:p>
    <w:p>
      <w:r>
        <w:rPr>
          <w:b/>
        </w:rPr>
        <w:t>E. 20</w:t>
      </w:r>
    </w:p>
    <w:p>
      <w:r>
        <w:t>En conséquence, le recours sera rejeté.</w:t>
      </w:r>
    </w:p>
    <w:p>
      <w:r>
        <w:t>A/3801/2007 - 15/15 -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