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ATAS/348/2025 vom 14. Mai 2025</w:t>
      </w:r>
    </w:p>
    <w:p>
      <w:r>
        <w:t>GE Cour de justice, 2025-05-14, FR</w:t>
      </w:r>
    </w:p>
    <w:p>
      <w:r>
        <w:rPr>
          <w:b/>
        </w:rPr>
        <w:t xml:space="preserve">Quelle: </w:t>
      </w:r>
      <w:r>
        <w:t>https://mcp.opencaselaw.ch/entscheid/ge_gerichte_ATAS_348_2025</w:t>
      </w:r>
    </w:p>
    <w:p>
      <w:r>
        <w:t>FR: GE_GERICHTE ATAS/348/2025 du 14 mai 2025</w:t>
      </w:r>
    </w:p>
    <w:p>
      <w:r>
        <w:t>IT: GE_GERICHTE ATAS/348/2025 del 14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A/3277/2023 - 9/17 -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Le délai de recours est de trente jours (art. 56 LPGA; art. 62 al. 1 de la de loi sur la procédure administrative du 12 septembre 1985 [LPA - E 5 10]). Interjetés dans la forme et le délai prévus par la loi, les recours sont recevables.</w:t>
      </w:r>
    </w:p>
    <w:p>
      <w:r>
        <w:rPr>
          <w:b/>
        </w:rPr>
        <w:t>E. 2.1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w:t>
      </w:r>
    </w:p>
    <w:p>
      <w:r>
        <w:rPr>
          <w:b/>
        </w:rPr>
        <w:t>E. 2.2</w:t>
      </w:r>
    </w:p>
    <w:p>
      <w:r>
        <w:t>En l'occurrence, la recourante indique expressément contester seulement la proportion d'exigibilité d'aide des proches, retenue dans l'enquête économique sur le ménage pour la détermination du taux d'invalidité relatif aux travaux habituels dès le 1er février 2022. Le litige porte donc exclusivement sur ce point.</w:t>
      </w:r>
    </w:p>
    <w:p>
      <w:r>
        <w:rPr>
          <w:b/>
        </w:rPr>
        <w:t>E. 2.4</w:t>
      </w:r>
    </w:p>
    <w:p>
      <w:r>
        <w:t>heures le nombre total d'heures consacrées au ménage, compte tenu du fait que la famille n'avait pas de jardin ou d'animaux domestiques. Or, selon les statistiques produites par l'intimé, c'était 3.2 heures par semaine et non 2.4 heures par semaine qui étaient dévolues à ce poste. La chambre de céans constate que selon le tableau relatif aux femmes vivant en couple sans enfant qui s’applique en l’occurrence, le temps consacré aux animaux, plantes et jardinage est de 2.3 heures pour les femmes âgées entre 45 et 64 ans, soit dans la tranche d’âge en 2022 de la recourante qui est née en 1966. Le temps retenu par l’intimé présente une différence minime par rapport aux 2.3 heures ressortant des statistiques, de sorte qu’il n’y a pas lieu de s’en écarter. Les 3.2 heures mentionnées par la recourante concernent les femmes âgées de 15 à 29 ans et ne s’appliquent donc pas dans son cas.</w:t>
      </w:r>
    </w:p>
    <w:p>
      <w:r>
        <w:rPr>
          <w:b/>
        </w:rPr>
        <w:t>E. 3</w:t>
      </w:r>
    </w:p>
    <w:p>
      <w:r>
        <w:t>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w:t>
      </w:r>
    </w:p>
    <w:p>
      <w:r>
        <w:t>A/3277/2023 - 10/17 - En l’occurrence, la décision querellée porte sur l’octroi d’une rente dont le droit est né postérieurement au 31 décembre 2021, de sorte que les dispositions légales applicables seront citées dans leur nouvelle teneur.</w:t>
      </w:r>
    </w:p>
    <w:p>
      <w:r>
        <w:rPr>
          <w:b/>
        </w:rPr>
        <w:t>E. 3.1</w:t>
      </w:r>
    </w:p>
    <w:p>
      <w:r>
        <w:t>Le 1er janvier 2022, sont entrées en vigueur les modifications de la LAI du 19 juin 2020 (développement continu de l’AI ; RO 2021 705) ainsi que celles du</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Selon l'art. 28b LAI,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 tableau, avec un taux d'invalidité d'au minimum 40 % donnant droit à une rente – la plus basse – de 25 %, jusqu'à un taux d'invalidité de 49 % donnant droit à une rente de 47.5% (al. 4).</w:t>
      </w:r>
    </w:p>
    <w:p>
      <w:r>
        <w:rPr>
          <w:b/>
        </w:rPr>
        <w:t>E. 3.3</w:t>
      </w:r>
    </w:p>
    <w:p>
      <w:r>
        <w:t>Selon l’art. 27bis RAI,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w:t>
      </w:r>
    </w:p>
    <w:p>
      <w:r>
        <w:t>A/3277/2023 - 11/17 - entre le taux d'occupation visé à l'al. 3, let. b, et une activité lucrative exercée à plein temps (al. 4).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w:t>
      </w:r>
    </w:p>
    <w:p>
      <w:r>
        <w:t>A/3277/2023 - 12/17 -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in VSI 2003 p. 221 ; arrêts du Tribunal fédéral 9C_625/2017 du 26 mars 2018 consid. 6.2 et I 733/06 du 16 juillet 2007).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w:t>
      </w:r>
    </w:p>
    <w:p>
      <w:r>
        <w:t>A/3277/2023 - 13/17 -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in SVR 2023 IV n. 46 p. 156). Le Tribunal fédéral a confirmé qu'il n'y a pas de motif de revenir sur le principe de l'obligation de diminuer le dommage tel que dégagé par la jurisprudence (arrêt du Tribunal fédéral 9C_248/2022 du 25 avril 2023 consid. 5.3 et les références). Dans un arrêt du 10 janvier 2025 (ATAS/3/2025), la chambre de céans a jugé que l’on pouvait exiger du mari et du fils de la recourante une aide de 12 heures par semaine, soit un peu moins d'une heure par jour et par personne. Une telle exigibilité du fils et du mari de la recourante ne dépassait pas l'aide qui pouvait raisonnablement être exigée d'eux au vu de leur situation personnelle d'étudiant et de personne à la retraite, malgré des études prenantes et des problèmes de santé allégués, compte tenu de l'obligation de réduire le dommage. Dans un arrêt (ATAS/719/2024), du 19 septembre 2024, la chambre de céans a retenu qu’il n’était pas disproportionné de considérer que l’époux de la recourante et leurs trois filles, qui vivaient tous sous le même toit à la date de la décision querellée, pouvaient assumer les tâches domestiques à hauteur de 23 heures et 15 minutes, à répartir entre quatre personnes, ce qui revenait en moyenne à moins d’une heure par jour par personne et cela, même si l’époux de la recourante bénéficie d’une rente d’invalidité.</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w:t>
      </w:r>
    </w:p>
    <w:p>
      <w:r>
        <w:t>A/3277/2023 - 14/17 -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4</w:t>
      </w:r>
    </w:p>
    <w:p>
      <w:r>
        <w:t>La recourante conteste l’exigibilité retenue pour ses proches par l’intimé en lien avec ses empêchements dans la sphère ménage dès le 1er février 2022.</w:t>
      </w:r>
    </w:p>
    <w:p>
      <w:r>
        <w:rPr>
          <w:b/>
        </w:rPr>
        <w:t>E. 4.1</w:t>
      </w:r>
    </w:p>
    <w:p>
      <w:r>
        <w:t>Il ressort du rapport d'enquête que, pour la période débutant en février 2022, l'assurée vivait avec son mari et l'un de leurs fils, que son mari, âgé alors de 52 ans, travaillait au total à 90% auprès de différents employeurs, puis, dès le 1er avril 2023, à 100% pour un unique employeur et que leur fils, âgé alors de 30 ans, travaillait à plein temps. Pour l'évaluation de cette période, le nombre d'heures retenues par semaine par l'enquêtrice pour la tenue du ménage pour cette constitution familiale s'élève à 21 heures et 24 minutes et les empêchements à 45.7%, soit 9 heures et 47 minutes. Le 11 septembre 2024, la chambre de céans a demandé à l’intimé de préciser cette dernière phrase, à savoir s’il s’agissait du nombre d’heures pour la tenue du ménage effectué par l’ensemble de la famille ou seulement pas la recourante. Le 26 novembre 2024, l’intimé a indiqué à la chambre de céans avoir pris en compte les tableaux de l’OFS sur le travail domestique et familial pour le cas d’espèce pour un couple sans enfant à charge, car le fils âgé de 30 ans était en emploi, soit 23 heures et 48 minutes, moins 2.4 heures, car la famille n’avait pas de jardin ni d’animaux. La recourante a fait valoir qu’il lui paraissait incorrect de retenir que les heures retenues pour la tenue du ménage étaient pour la composition familiale dans son ensemble, puisque si tel était le cas, le nombre d'heures consacrées au ménage devrait être le même pour les hommes et pour les femmes. Or, dans les statistiques produites par l'intimé, les 23.8 heures consacrées chaque semaine au ménage concernait la catégorie des « femmes vivant en couple sans enfant ». S'agissant des hommes vivant en couple sans enfant, ils consacraient au ménage en moyenne 17 heures par semaine selon le tableau statistique de l'OFS, référence T 03.06.02.06, qui était annexé. La chambre de céans considère qu’il y a lieu de retenir que la statistique en cause concerne le travail théorique d’une femme dans le ménage, et non de l’ensemble des membres de la famille, en lien avec sa constellation familiale, comme cela ressort clairement du libellé du tableau. Cette analyse est en outre confirmée par le fait que, comme l’a relevé la recourante, il y a ces tableaux de l’OFS relatifs aux nombres d’heures effectuées par les hommes dans le ménage. Si l’intimé aurait pu être plus clair, il n’a toutefois pas soutenu le contraire.</w:t>
      </w:r>
    </w:p>
    <w:p>
      <w:r>
        <w:t>A/3277/2023 - 15/17 -</w:t>
      </w:r>
    </w:p>
    <w:p>
      <w:r>
        <w:rPr>
          <w:b/>
        </w:rPr>
        <w:t>E. 4.2</w:t>
      </w:r>
    </w:p>
    <w:p>
      <w:r>
        <w:t>Se pose la question de savoir si le tableau de l’OFS relatif à un couple sans enfants à charge s’applique bien à la situation familiale de la recourante, dès lors qu’un de ses fils vivait avec elle et son époux lors de l’enquête ménagère. Tel est bien le cas, dès lors que le tableau relatif aux mères en couple élevant un enfant ne concerne que les enfants jusqu’à 24 ans et que le fils de la recourante avait dépassé cet âge en février 2022. Il n’était en outre plus à la charge de ses parents puisqu’il avait un emploi. Cela est confirmé par le fait que le tableau relatif aux femmes vivant en couple sans enfant contient une rubrique pour les soins à des adultes du ménage et qu’il est indiqué en bas de page qu’il s’agit des ménages avec personnes de 18 ans et plus nécessitant des soins.</w:t>
      </w:r>
    </w:p>
    <w:p>
      <w:r>
        <w:rPr>
          <w:b/>
        </w:rPr>
        <w:t>E. 4.3</w:t>
      </w:r>
    </w:p>
    <w:p>
      <w:r>
        <w:t>La recourante a encore fait valoir que l'intimé avait indiqué réduire de</w:t>
      </w:r>
    </w:p>
    <w:p>
      <w:r>
        <w:rPr>
          <w:b/>
        </w:rPr>
        <w:t>E. 4.4</w:t>
      </w:r>
    </w:p>
    <w:p>
      <w:r>
        <w:t>La recourante fait encore valoir que la CIRAI à laquelle se référait l'intimé (ch. 3609 à 3615), ne mentionnait pas de nombre d'heures mais uniquement une pondération de chaque poste du ménage en pourcentage. De même, ce n'était qu'en dernière page de l'enquête ménagère que le pourcentage de handicap défini, poste par poste était appliqué à un nombre d'heures, soit 45.7% de handicap sur 21 heures et 24 minutes de ménage, ce qui aboutissait au résultat de 9 heures et 47 minutes à compenser. La chambre de céans constate que le rapport d’enquête effectué respecte la circulaire CIRAI, puisqu’il en ressort qu’il a été procédé à une pondération de chaque poste du ménage en pourcentage, conformément au modèle qui figure au ch. 3610 de la CIRAI, et que les empêchements sont mentionnés en pourcentage. La référence aux nombres d’heures statistiques correspondant à la situation de la personne concernée n’apparaît pas critiquable, car il s’agit de données statistiques objectives et cela permet une meilleure appréciation du temps qu’un pourcentage.</w:t>
      </w:r>
    </w:p>
    <w:p>
      <w:r>
        <w:rPr>
          <w:b/>
        </w:rPr>
        <w:t>E. 4.5</w:t>
      </w:r>
    </w:p>
    <w:p>
      <w:r>
        <w:t>La recourante estime que l’intimé ne pouvait exiger que son mari et son fils effectuent « 9.47 heures » de ménage, car ces heures s'ajoutaient à celles déjà consacrées par ceux-ci aux tâches ménagères en temps normal. Il ressortait d'ailleurs clairement de l'enquête ménagère que les tâches étaient partagées de</w:t>
      </w:r>
    </w:p>
    <w:p>
      <w:r>
        <w:t>A/3277/2023 - 16/17 - manière relativement équitable entre les différents membres de la famille avant qu'elle ne soit atteinte dans sa santé. Compte tenu de la situation professionnelle de son mari et de son fils, tous deux actifs à 100%, il ne paraissait pas réaliste d'exiger qu'ils augmentent le temps qu'ils avaient toujours consacré aux tâches ménagères de plus 40 minutes par jour chacun en vertu de l'obligation de l'assurée de réduire son dommage. Aussi, la recourante persistait intégralement dans ses conclusions. L’intimé a estimé dans sa réponse qu’une exigibilité des proches de la recourante de « 9.47 heures » de ménage par semaine, soit environ 40 minutes par jour par personne, ne pouvait être considérés comme excessive dans son cas particulier. L’intimé a précisé, le 11 octobre 2024, que les heures indiquées dans l'enquête correspondaient aux heures et minutes, et non à une fraction décimale. Il en résulte qu’il a retenu une exigibilité de 9 heures et 47 minutes et non de 9.47 heures. La chambre de céans rappelle que, selon la jurisprudence,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En l’occurrence, il n'apparait pas excessif d'exiger une aide hebdomadaire de</w:t>
      </w:r>
    </w:p>
    <w:p>
      <w:r>
        <w:rPr>
          <w:b/>
        </w:rPr>
        <w:t>E. 4.6</w:t>
      </w:r>
    </w:p>
    <w:p>
      <w:r>
        <w:t>En conclusion, au vu des explications complémentaires données par l’intimé, les conclusions du rapport d’enquête ménagère sur l’exigibilité doivent être confirmées, de même que la décision querellée qui a été prise sur cette base.</w:t>
      </w:r>
    </w:p>
    <w:p>
      <w:r>
        <w:rPr>
          <w:b/>
        </w:rPr>
        <w:t>E. 4.7</w:t>
      </w:r>
    </w:p>
    <w:p>
      <w:r>
        <w:t>Le fait que le fils de la recourante n’habite plus à son domicile depuis novembre 2024 est sans incidence dans le cas d’espèce, car celui-ci ne concerne que la situation de la recourante jusqu’au jour de la décision querellée, soit le 8 septembre 2023. 5. Au vu de ce qui précède, les recours seront rejetés et un émolument de CHF 200.- mis à la charge de la recourante (art. 69 al.1bis LAI).</w:t>
      </w:r>
    </w:p>
    <w:p>
      <w:r>
        <w:t>A/3277/2023 - 17/17 - PAR CES MOTIFS, LA CHAMBRE DES ASSURANCES SOCIALES : Statuant À la forme :</w:t>
      </w:r>
    </w:p>
    <w:p>
      <w:r>
        <w:rPr>
          <w:b/>
        </w:rPr>
        <w:t>E. 9</w:t>
      </w:r>
    </w:p>
    <w:p>
      <w:r>
        <w:t>heures et 47 minutes, à partager entre le mari et le fils adulte de la recourante, soit moins d’une heure pendant cinq jours chacun, quand bien même ils travaillent à plein temps, dès lors qu’il ressort des statistiques que les hommes vivant en couple sans enfant consacrent au ménage en moyenne 17 heures par semaine selon le tableau statistique de l'OFS référence T 03.06.02.06.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