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ATAS/348/2024 vom 16. Mai 2024</w:t>
      </w:r>
    </w:p>
    <w:p>
      <w:r>
        <w:t>GE Cour de justice, 2024-05-16, FR</w:t>
      </w:r>
    </w:p>
    <w:p>
      <w:r>
        <w:rPr>
          <w:b/>
        </w:rPr>
        <w:t xml:space="preserve">Quelle: </w:t>
      </w:r>
      <w:r>
        <w:t>https://mcp.opencaselaw.ch/entscheid/ge_gerichte_ATAS_348_2024</w:t>
      </w:r>
    </w:p>
    <w:p>
      <w:r>
        <w:t>FR: GE_GERICHTE ATAS/348/2024 du 16 mai 2024</w:t>
      </w:r>
    </w:p>
    <w:p>
      <w:r>
        <w:t>IT: GE_GERICHTE ATAS/348/2024 del 16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décembre 2022 dès lors que le délai d’attente d’une année est venu à échéance en décembre 2022 et que la demande de prestations a été déposée en septembre 2022</w:t>
      </w:r>
    </w:p>
    <w:p>
      <w:r>
        <w:t>A/296/2024 - 7/15 - (cf. art. 28 al. 1 let. b et 29 al. 1 LAI), de sorte que les dispositions légales applicables seront citées dans leur nouvelle teneur.</w:t>
      </w:r>
    </w:p>
    <w:p>
      <w:r>
        <w:rPr>
          <w:b/>
        </w:rPr>
        <w:t>E. 4</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5</w:t>
      </w:r>
    </w:p>
    <w:p>
      <w:r>
        <w:t>Le litige porte sur le bien-fondé de la décision de refus de prestations invalidité rendue par l’OAI en date du 5 décembre 2023.</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w:t>
      </w:r>
    </w:p>
    <w:p>
      <w:r>
        <w:t>A/296/2024 - 8/15 - valoir son droit aux prestations conformément à l’art. 29 al. 1 LPGA. Selon l’art. 29 al. 3 LAI, la rente est versée dès le début du mois au cours duquel le droit prend naissance.</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8.3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w:t>
      </w:r>
    </w:p>
    <w:p>
      <w:r>
        <w:t>A/296/2024 - 9/15 -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8.5</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t>A/296/2024 - 10/15 -</w:t>
      </w:r>
    </w:p>
    <w:p>
      <w:r>
        <w:rPr>
          <w:b/>
        </w:rPr>
        <w:t>E. 10</w:t>
      </w:r>
    </w:p>
    <w:p>
      <w:r>
        <w:t>En l’espèce, le recourant conteste l’appréciation de l’OAI en se fondant, notamment, sur le rapport médical du 24 novembre 2022 du Prof. B______ et sur les appréciations de son médecin, le Dr D______. L’OAI, de son côté, se fonde sur l’ensemble des pièces médicales et sur les appréciations de son SMR.</w:t>
      </w:r>
    </w:p>
    <w:p>
      <w:r>
        <w:rPr>
          <w:b/>
        </w:rPr>
        <w:t>E. 10.1</w:t>
      </w:r>
    </w:p>
    <w:p>
      <w:r>
        <w:t>Il ressort de la documentation médicale présente au dossier et des pièces fournies par le recourant que ce dernier n’a plus jamais demandé d’intervention visant à diminuer ses douleurs, après la pose du stimulateur médullaire en date du 24 novembre 2022. Selon les dires du chirurgien et spécialiste de la consultation de la douleur, le Prof. B______, le patient ne s’est plus présenté après la pose du stimulateur, le 24 novembre 2022 (rapport médical du 20 avril 2023 sous ch. 8). Son médecin traitant, le Dr D______, indique dans son rapport médical du 7 juillet 2023 qu’il observe une amélioration de la douleur, un bon pronostic mais qu’un travail physique n’est pas envisageable. Il mentionne également que l’assuré aurait hâte de reprendre le travail mais qu’il relate de grandes difficultés à trouver un travail adapté. Il mentionne également qu’un travail à 50% en position assise/debout alternée est probablement possible « mais uniquement après expertise dédiée ». Néanmoins, le médecin traitant ne mentionne aucun élément objectif qui justifierait le taux de 50% pas plus qu’il n’explique si une expertise dédiée devrait porter sur la capacité de travail du recourant - auquel cas, on peine à comprendre sur quelle base il s’est fondé pour mentionner le taux de 50% - ou sur les capacités professionnelles et le rendement du recourant soumis à certaines activités, auquel cas il devrait être plutôt soumis à une observation professionnelle comme peut l’exécuter un organisme tel que les établissements publics pour l’intégration (EPI). On peine également à comprendre les raisons pour lesquelles le Dr D______ mentionne dans son rapport à la Bâloise, daté du 26 juin 2023, que son patient pourrait reprendre un travail à raison de huit heures par jour, dès le 1er août 2023, avec une tolérance exigible de 50%, tout en mentionnant (rapport médical sous ch. 8.3), quelques lignes plus loin, qu’il pourrait travailler en « atelier protégé » puis en attestant, à l’attention de la caisse de chômage, en date du 7 décembre 2023, que l’assuré aurait besoin de mesures de réinsertion professionnelle et/ou de formation pour « conduire à un nouvel emploi ». Ces éléments montrent une certaine confusion entre les limitations fonctionnelles liées à la santé et les limitations liées aux lacunes de formation et d’expérience professionnelle de l’assuré, étant rappelé que ces dernières ne doivent pas être prises en compte par l’OAI. Le rapport du SMR, daté du 31 août 2023, rappelle les différentes étapes et le contenu des rapports médicaux qui montrent une évolution au fil du temps. Il est établi que la pose du neurostimulateur médullaire a amélioré la capacité de travail de l’assuré en contrôlant les douleurs et le fait qu’il ne se soit plus présenté à la</w:t>
      </w:r>
    </w:p>
    <w:p>
      <w:r>
        <w:t>A/296/2024 - 11/15 - consultation de la douleur et n’ait plus recontacté le Prof. B______ après le 24 novembre 2023 constitue un indice dans le sens d’une diminution drastique du seuil de douleurs. L’assuré ne rencontre pas d’empêchement dans la sphère ménagère, selon ses déclarations au Dr D______ et aucun élément objectif ne vient appuyer le taux de 50% avancé par le médecin traitant, étant rappelé que le juge peut et doit tenir compte du fait que, selon l'expérience, le médecin traitant est généralement enclin, en cas de doute, à prendre parti pour son patient en raison de la relation de confiance qui l'unit à ce dernier (ATF 125 V 351 consid. 3b/cc). Compte tenu de ces éléments figurant dans le rapport du SMR, qui est cohérent et ne montre pas de contradictions, et vu que les appréciations du médecin traitant ne se fondent pas sur des éléments objectivement vérifiables, tels que l’imagerie médicale, mais sur les déclarations subjectives de l’assuré sur ses douleurs, la chambre de céans considère qu’il est établi, au degré de la vraisemblance prépondérante, que le recourant dispose d’une capacité de travail entière dans une activité adaptée à ses limitations fonctionnelles, dès le 24 novembre 2022. Pour le surplus, la comparaison des revenus effectuée par l’OAI pour aboutir à un taux d’invalidité de zéro n’est pas critiquée par le recourant.</w:t>
      </w:r>
    </w:p>
    <w:p>
      <w:r>
        <w:rPr>
          <w:b/>
        </w:rPr>
        <w:t>E. 10.2</w:t>
      </w:r>
    </w:p>
    <w:p>
      <w:r>
        <w:t>S’agissant d’éventuelles mesures de réadaptation, il sied de rappeler que,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que celui à des mesures de réadaptation (art. 21 al. 4 LPGA).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A/296/2024 - 12/15 -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 En l’occurrence, l’entretien du 23 février 2023 permet d’établir que l’assuré a débuté sa vie professionnelle à 12 ans, travaillant dans une boulangerie au Portugal,</w:t>
      </w:r>
    </w:p>
    <w:p>
      <w:r>
        <w:t>A/296/2024 - 13/15 - puis a accompli son service militaire de 17 à 21 ans, lors duquel il a appris la conduite des poids-lourds et a travaillé, dès 22 ans comme chauffeur poids-lourds en transport international. En Suisse, il a travaillé dans une boulangerie industrielle et comme magasinier. Il découle de ces éléments que le recourant ne dispose pas d’une formation très avancée et que son expérience professionnelle se limite à la conduite des poids- lourds, ainsi qu’au chargement et déchargement de marchandises. Compte tenu de ces éléments et malgré le fait que selon son médecin traitant, l’assuré dispose d’excellentes connaissances en anglais, on peut postuler que ses difficultés à trouver une activité adaptée à ses limitations fonctionnelles relèvent davantage de ses lacunes de formation à un travail administratif qu’à son état de santé.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(arrêt du Tribunal fédéral 9C_434/2023 du 30 novembre 2023 consid. 3 et la référence). Dans le cas présent, son employeur, chez lequel il exerçait la tâche de magasinier, n’a aucunement donné de garantie de reprise moyennant une formation adéquate compatible avec ses limitations fonctionnelles et l’a licencié au 31 mars 2022.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w:t>
      </w:r>
    </w:p>
    <w:p>
      <w:r>
        <w:t>A/296/2024 - 14/15 -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comparaison des revenus effectuée par l’OAI, il apparaît que l’assuré pourrait obtenir un salaire supérieur à ce qu’il percevait dans son dernier emploi, dans une activité sans formation particulière, ouverte dans tous les domaines et non pas restreinte au transport terrestre et à l’entreposage (ligne 49-52, tableau ESS 2020 TA1 skill level pour un homme). Il découle de ce qui précède que, dans l’état actuel de ses moyens, l’assuré pourrait effectuer une activité adaptée à ses limitations fonctionnelles, sans effort physique et sans formation particulière. Dès lors, la décision de l’OAI de refus de mesures professionnelles est conforme à la loi. Il appartiendra à l’office cantonal de l’emploi, dès que l’assuré aura procédé à sa réinscription, d’examiner son cas et de lui proposer une formation ad hoc, afin d’améliorer son employabilité.</w:t>
      </w:r>
    </w:p>
    <w:p>
      <w:r>
        <w:rPr>
          <w:b/>
        </w:rPr>
        <w:t>E. 11</w:t>
      </w:r>
    </w:p>
    <w:p>
      <w:r>
        <w:t>Au vu de ce qui précède, la chambre de céans n’a d’autre choix que de rejeter le recours.</w:t>
      </w:r>
    </w:p>
    <w:p>
      <w:r>
        <w:rPr>
          <w:b/>
        </w:rPr>
        <w:t>E. 12</w:t>
      </w:r>
    </w:p>
    <w:p>
      <w:r>
        <w:t>Étant donné que, depuis le 1er juillet 2006, la procédure n'est plus gratuite (art. 69 al. 1bis LAI), au vu du sort du recours, il y a lieu de condamner le recourant au paiement d'un émolument de CHF 200.-.</w:t>
      </w:r>
    </w:p>
    <w:p>
      <w:r>
        <w:t>A/296/2024 - 15/15 -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