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ATAS/348/2019 vom 18. April 2019</w:t>
      </w:r>
    </w:p>
    <w:p>
      <w:r>
        <w:t>GE Cour de justice, 2019-04-18, FR</w:t>
      </w:r>
    </w:p>
    <w:p>
      <w:r>
        <w:rPr>
          <w:b/>
        </w:rPr>
        <w:t xml:space="preserve">Quelle: </w:t>
      </w:r>
      <w:r>
        <w:t>https://mcp.opencaselaw.ch/entscheid/ge_gerichte_ATAS_348_2019</w:t>
      </w:r>
    </w:p>
    <w:p>
      <w:r>
        <w:t>FR: GE_GERICHTE ATAS/348/2019 du 18 avril 2019</w:t>
      </w:r>
    </w:p>
    <w:p>
      <w:r>
        <w:t>IT: GE_GERICHTE ATAS/348/2019 del 18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requis, le recours contre la décision du 24 juillet 2018 est recevable (art. 56 ss LPGA), compte tenu de la période de suspension des délais courant du 15 juillet au 15 août inclusivement (art. 38 al. 4 let. b LPGA).</w:t>
      </w:r>
    </w:p>
    <w:p>
      <w:r>
        <w:rPr>
          <w:b/>
        </w:rPr>
        <w:t>E. 3</w:t>
      </w:r>
    </w:p>
    <w:p>
      <w:r>
        <w:t>Le litige porte sur le degré d'invalidité du recourant à partir du 1er mars 2017, lequel dépend en particulier du calcul de sa perte de gain.</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 Il y a lieu de préciser que selon la jurisprudence, la notion d'invalidité, au sens du droit des assurances sociales, est une notion économique et non médicale; ce sont</w:t>
      </w:r>
    </w:p>
    <w:p>
      <w:r>
        <w:t>A/3075/2018 - 10/16 -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il ressort des pièces médicales figurant au dossier que le recourant présente une rectocolite ulcéro-hémorragique, une cholangite sclérosante primitive ainsi qu’une ostéoporose non fracturaire cortisonique sur maladie inflammatoire chronique intestinale. Ces affections entraînent une asthénie intense, un prurit chronique, un transit accéléré et des douleurs abdominales. Dans son avis du 19 décembre 2017, le SMR a fait sienne l’appréciation du Dr E_____, médecin traitant, de la capacité de travail du recourant, évaluée dans toute activité à 50 % du</w:t>
      </w:r>
    </w:p>
    <w:p>
      <w:r>
        <w:rPr>
          <w:b/>
        </w:rPr>
        <w:t>E. 7</w:t>
      </w:r>
    </w:p>
    <w:p>
      <w:r>
        <w:t>Reste à déterminer le degré d’invalidité du recourant. 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w:t>
      </w:r>
    </w:p>
    <w:p>
      <w:r>
        <w:t>A/3075/2018 - 11/16 - la méthode générale de comparaison des revenus (art. 28a al. 1 LAI en corrélation avec l'art. 16 LPGA) et ses sous-variantes, la méthode de comparaison en pour-cent et la méthode extraordinaire de comparaison des revenus (ATF 137 V 334 consid. 3.1.1 et les références).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la comparaison des revenus, est réputé revenu au sens de l'art. 16 LPGA le revenu annuel présumable sur lequel les cotisations seraient perçues en vertu de la LAVS (art. 25 al. 1 du règlement sur l'assurance-invalidité du 17 janvier 1961 [RAI – RS 831.201]). Cette disposition n’exige toutefois pas une équivalence absolue entre les revenus déterminants pour l’évaluation de l’invalidité et ceux qui sont soumis aux cotisations AVS mais bien plutôt une mise en parallèle des revenus hypothétiques servant à la comparaison et de ceux sur lesquels les cotisations AVS doivent être payés. Cela signifie que pour l’évaluation de l’invalidité, seuls entrent en principe en ligne de compte les revenus tirés de l’exercice d’une activité lucrative pour lequel l’assuré devrait s’acquitter de cotisations à l’AVS. L’étendue des revenus à comparer se détermine dès lors en prenant en considération l’ensemble de l’activité définie par les art. 5 à 9 LAVS. Si l’assuré exerçait, à côté de son activité indépendante, une activité salariée, ses revenus sont déterminés en fonction de toute l’activité lucrative principale et accessoire (Michel VALTERIO, Droit de l'assurance-vieillesse et survivants [AVS] et de l'assurance-invalidité [AI], 2011, n. 2065 p. 548). Les prestations accordées par l’employeur pour compenser des pertes de salaire par suite d’accident ou de maladie entraînant une incapacité de travail dûment prouvée ne sont pas réputées revenu du travail pour la comparaison des revenus (art. 25 al. 1 let. a RAI) (VALTERIO, op cit., n. 2070 p. 549).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(arrêt du Tribunal fédéral des assurances I 881/06 du 9 octobre 2007 consid. 5.4; ATF 126 V 75 consid. 3b/aa).</w:t>
      </w:r>
    </w:p>
    <w:p>
      <w:r>
        <w:t>A/3075/2018 - 12/16 - c.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d. Si l'on ne peut déterminer ou évaluer sûrement le revenu hypothétique sans invalidité et le revenu d'invalide,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Dans la pratique, la méthode extraordinaire est souvent applicable aux indépendants. Elle est surtout utile dans les secteurs agricole et artisanal, mais ne l’est guère dans le domaine administratif (cf. circulaire sur l’invalidité et l’impotence dans l’assurance-invalidité, établi par l’office fédéral des assurances sociales dans sa teneur en vigueur au 1er janvier 2018 [CIIAI], ch. 3103 ; arrêt du Tribunal fédéral 8C_346/2012 consid. 4.5). e. Pour savoir si une personne exerce une activité lucrative à titre d’indépendant ou de salarié, il ne faut pas se fonder sur la nature juridique de la relation contractuelle entre les parties (ATF 122 V 169 consid. 3a). C’est la position économique qui est déterminante, autrement dit la réponse à la question de savoir si l’assuré exerce une influence décisive sur la politique commerciale et l’évolution des affaires de l’entreprise. Pour y répondre, il faut tenir compte de sa participation financière, de la composition de la direction de la société et d’autres critères comparables (arrêt du Tribunal fédéral 9C_453/2014 du 17 février 2015). Les dirigeants d’une société anonyme ou d’une société à responsabilité limitée doivent en principe être</w:t>
      </w:r>
    </w:p>
    <w:p>
      <w:r>
        <w:t>A/3075/2018 - 13/16 - considérés comme des salariés. Toutefois, si une personne dirigeant une telle société dispose d’une influence déterminante sur celle-ci (par ex. parce qu’elle est la seule à avoir le droit de signature), il est justifié d’évaluer l’invalidité par la méthode utilisée pour les indépendants (par ex. en tenant compte de la moyenne des revenus de plusieurs années (arrêts du Tribunal fédéral 8C_346/2012 du 24 août 2012 consid. 4.3 ; 8C_898/2010 du 13 avril 2011 consid. 5.3). On considère notamment qu’un assuré employé par une société anonyme revêt un statut d’indépendant s’il dispose d’une influence déterminante sur l’entreprise en sa qualité d’actionnaire unique (CIIAI, ch. 3028.2).</w:t>
      </w:r>
    </w:p>
    <w:p>
      <w:r>
        <w:rPr>
          <w:b/>
        </w:rPr>
        <w:t>E. 8</w:t>
      </w:r>
    </w:p>
    <w:p>
      <w:r>
        <w:t>a. En l’espèce, le recourant occupe la fonction de pharmacien responsable de la Pharmacie B______ SA, dont il est l’administrateur unique avec signature individuelle ainsi que l’actionnaire unique ; il détient 100 % des actions. Il peut ainsi exercer une influence importante sur la politique et le développement de cette société, si bien qu’il doit être considéré comme un indépendant, quand bien même l’extrait du compte individuel au dossier mentionne qu’il a déclaré des revenus soumis à cotisations en tant que salarié. Le statut d’indépendant ne signifie pas pour autant qu’il faille recourir automatiquement à la méthode extraordinaire. Il ressort en effet du rapport d’enquête pour activité professionnelle indépendante du 13 mars 2018 que les tâches du recourant au sein de cette pharmacie, avant son atteinte à la santé, comprenaient essentiellement le suivi avec le service du Pharmacien cantonal, la gestion et la planification des horaires, la gestion des commandes et de la comptabilité, la gestion du stock, l’organisation et le suivi des formations continues, la gestion du portefeuille d’assurances, la stratégie à moyen et à long terme de la société, la négociation avec les fournisseurs, les placements actifs, la campagne de publicité, la supervision informatique, la formation des apprentis, la négociation et la facturation aux assurances. Il consacrait donc principalement son temps aux activités administratives, organisationnelles et commerciales. Depuis son atteinte à la santé, il partage la responsabilité de cette pharmacie avec M. G_____. Si l’application de la méthode extraordinaire est utile dans les secteurs agricole et artisanal, elle s’avère en revanche inutile dans le domaine administratif (arrêt du Tribunal fédéral 8C_346/2012 du 24 août 2012 consid. 4.5 ; CIIAI, ch. 3103). Par conséquent, c’est à juste titre que l’intimé a évalué l’invalidité du recourant suivant la méthode ordinaire de comparaison des revenus. b. L’intimé a considéré que, dans la mesure où le recourant revêtait le statut d’indépendant au regard de son influence déterminante sur l’entreprise, y compris sur les pharmacies de C______ SA et D______ SA, dont il est actionnaire à hauteur de 22 %, respectivement de 50 %, le bénéfice net réalisé par ces sociétés devait également être pris en considération dans la comparaison des revenus au prorata de la participation au capital-actions. L’intimé a ainsi comparé un revenu sans invalidité de CHF 292'580.- (comprenant, outre la part du bénéfice, les salaires perçus auprès de ces pharmacies selon le résultat du compte pertes et profits de</w:t>
      </w:r>
    </w:p>
    <w:p>
      <w:r>
        <w:t>A/3075/2018 - 14/16 - l’année 2015) au revenu avec invalidité de CHF 151'393.- (conformément au bouclement de l’année 2017). Il en résultait une perte de gain de 48 %. Dans un arrêt du 31 mai 2011 (ATAS/558/2011), la chambre de céans a déjà eu l’occasion de relever que les bénéfices nets de l’entreprise, qui n’ont pas été versés à l’assuré, ne peuvent pas être inclus dans ses revenus. Elle a relevé qu’une société anonyme, inscrite au registre du commerce, est dotée de la personnalité juridique, conformément à l'art. 643 al. 1 du Code des obligations du 30 mars 1911 (CO  RS 220). Autrement dit, il s'agit d'une entité distincte, soumise à l'impôt (art. 1 al. 2 let. a de la loi sur l'imposition des personnes morales [LIPM  D 3 15]). Les revenus de la société anonyme ne se confondent donc pas avec ceux de l’assuré, comme ce serait pour le cas pour un assuré exploitant une entreprise individuelle. En outre, selon l'art. 660 al. 1 CO, tout actionnaire a droit à une part proportionnelle du bénéfice résultant du bilan, pour autant que la loi ou les statuts prévoient sa répartition (consid. 8). Dans son écriture du 30 janvier 2019, le recourant a expliqué les motifs pour lesquels il n’avait pas obtenu de dividende. Il ressort des déclarations fiscales au dossier que les bénéfices nets des pharmacies n’ont effectivement pas été versés au recourant. N’ayant perçu aucun dividende, avant ou après son atteinte à la santé, les bénéfices nets au prorata de la participation au capital-actions ne peuvent donc pas être inclus dans les revenus du recourant. De toute manière, comme exposé ci-après, même en faisant abstraction de ces montants, le degré d’invalidité reste inférieur à 50 %. c. En ce qui concerne le revenu sans invalidité, il convient de prendre en compte le revenu moyen sur une période de cinq ans (2011 à 2015) afin d’éviter d’accorder trop de poids à une fluctuation passagère du revenu, à la hausse ou à la baisse, juste avant l’atteinte à la santé (durable), survenue en 2016 (cf. dans ce sens : arrêt du Tribunal fédéral 8C_748/2008 du 10 juin 2009 consid. 5.2.2). En 2015, le revenu perçu auprès de la Pharmacie B______ SA s’élevait non pas à CHF 219'450.- comme retenu par l’intimé, mais à CHF 231'000.-, ainsi que cela ressort notamment de l’extrait du compte individuel, de la déclaration des salaires versés par cette pharmacie à son personnel du 27 janvier 2016 et de l’avis de taxation rectificatif pour l’année 2015. La Pharmacie B______ SA a versé au recourant un salaire annuel de CHF 156'750.- en 2011, CHF 152'000.- en 2012, CHF 142'500.- en 2013, CHF 171'000.- en 2014 et CHF 231'000.- en 2015, soit un revenu moyen de CHF 170'650.-. La Pharmacie C______ SA lui a versé un salaire annuel de CHF 16'500.- de 2011 à 2014 et CHF 0.- en 2015 (le recourant n’ayant pas travaillé), soit un revenu moyen de CHF 13'200.-. La Pharmacie D______ SA lui l’a rémunéré annuellement de CHF 73'300.- en 2011, CHF 74'800.- en 2012, CHF 51'300.- en 2013, CHF 53'800.- en 2014 et CHF 69'300.- en 2015, soit un revenu moyen de CHF 64'500.-. Quant à la Pharmacie F_____ SA, elle lui a versé un</w:t>
      </w:r>
    </w:p>
    <w:p>
      <w:r>
        <w:t>A/3075/2018 - 15/16 - salaire annuel de CHF 15'319.- en 2001, CHF 11'086.- en 2012, CHF 17'502.- en 2013, CHF 11'000.- en 2014 et CHF 0.- en 2015, soit un revenu moyen de CHF 10'981.-. En prenant en compte les revenus versés par ces pharmacies, on obtient donc un revenu moyen avant invalidité de CHF 259'331.-. Après adaptation de ce montant à l'évolution des salaires nominaux pour les hommes en 2017  année déterminante pour la comparaison des revenus  (Indice suisse des salaires publié par l’office fédéral de la statistique [ISS]; en 2013 (moyenne): 2204 et en 2017: 2249), le revenu sans invalidité s’élève à CHF 264'626.- ([259'331 × 2249/ 2204]). Quant au revenu d’invalide, le montant de CHF 124'243.- retenu par l’intimé est erroné. L’enquêtrice a déduit du revenu total de CHF 300'000.- les indemnités journalières versées par Generali de CHF 175'757.-. L’assureur perte de gain avait toutefois accordé des indemnités journalières à hauteur de 161'998.- en 2017. La somme de CHF 175'757.- correspond aux indemnités journalières allouées pour la période du 1er décembre 2016 au 31 décembre 2017 (cf. décompte des 8 février et</w:t>
      </w:r>
    </w:p>
    <w:p>
      <w:r>
        <w:rPr>
          <w:b/>
        </w:rPr>
        <w:t>E. 13</w:t>
      </w:r>
    </w:p>
    <w:p>
      <w:r>
        <w:t>décembre 2018), dont il y a lieu de soustraire les indemnités journalières du mois de décembre 2016 de CHF 13'758.77. Il s’ensuit que le revenu annuel perçu auprès de la Pharmacie B______ SA en 2017, au sein de laquelle le recourant exploite pleinement sa capacité de gain résiduelle de 40 %, ascende à CHF 138'002.- (300'000 - 161'998). d. En conséquence, le revenu d'invalide de 138'002.-, comparé au revenu sans invalidité de CHF 264'626.-, aboutit à un degré d’invalidité de 47,84 % ([264'626 - 138'002] : 264'626 × 100), arrondi à 48 % (ATF 130 V 121 consid. 3.2). Même dans l’hypothèse où le revenu sans invalidité serait de CHF 265'377.- (pour tenir compte du fait que le recourant n’a pas perçu de salaire en 2015 de la part des pharmacies C______ SA et F_____ SA, auquel cas le revenu moyen de 2011 à 2014 se chiffre à CHF 16'500.-, respectivement à CHF 13'727.-), la solution serait identique. Après adaptation de ce montant à l’évolution des salaires en 2017 (265'377 × 2249/ 2204]), le revenu sans invalidité se monte à CHF 270'795.-. Comparé au revenu avec invalidité de CHF de 138'002.-, il en résulte une perte de gain de 49,03 % ([270'795 - 138'002] : 270'795 × 100), arrondi à 49 %. C’est donc à bon droit que l’intimé a mis le recourant au bénéfice d’un quart de rente à compter du 1er mars 2017 (art. 28 al. 1 et 2 cum art. 29 al. 1 et 3 LAI). 9. Au vu de ce qui précède, le recours sera rejeté. 10. Attendu que la procédure n'est pas gratuite (art. 69 al. 1bis LAI), il y a lieu de condamner le recourant, qui succombe, au paiement d'un émolument de CHF 200.-. ***</w:t>
      </w:r>
    </w:p>
    <w:p>
      <w:r>
        <w:t>A/3075/2018 - 16/16 -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