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ATAS/348/2011 vom 6. September 2010</w:t>
      </w:r>
    </w:p>
    <w:p>
      <w:r>
        <w:t>GE Cour de justice, 2010-09-06, FR</w:t>
      </w:r>
    </w:p>
    <w:p>
      <w:r>
        <w:rPr>
          <w:b/>
        </w:rPr>
        <w:t xml:space="preserve">Quelle: </w:t>
      </w:r>
      <w:r>
        <w:t>https://mcp.opencaselaw.ch/entscheid/ge_gerichte_ATAS_348_2011</w:t>
      </w:r>
    </w:p>
    <w:p>
      <w:r>
        <w:t>FR: GE_GERICHTE ATAS/348/2011 du 6 septembre 2010</w:t>
      </w:r>
    </w:p>
    <w:p>
      <w:r>
        <w:t>IT: GE_GERICHTE ATAS/348/2011 del 6 settembre 2010</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ATF 129 V 444). S'agissant de ces intérêts, il convient de se référer aux art. 8a de l'ordonnance fédérale sur le libre passage dans la prévoyance professionnelle,</w:t>
      </w:r>
    </w:p>
    <w:p>
      <w:r>
        <w:t>A/3610/2010 5/7 vieillesse, survivants et invalidité (OLP) et 12 de l'ordonnance fédérale sur la prévoyance professionnelle, vieillesse, survivants et invalidité du 18 avril 1984 sur la prévoyance professionnelle vieillesse, survivants et invalidité (OPP 2). Le taux d'intérêt applicable a été de 4% du 5 septembre 1998 au 31 décembre 2002, de 3,25% du 1er janvier au 31 décembre 2003, de 2,25% du 1er janvier au 31 décembre 2004, de 2,5% du 1er janvier 2005 au 31 décembre 2007 et de 2,75% à compter du 1er janvier 2008.</w:t>
      </w:r>
    </w:p>
    <w:p>
      <w:r>
        <w:rPr>
          <w:b/>
        </w:rPr>
        <w:t>E. 3</w:t>
      </w:r>
    </w:p>
    <w:p>
      <w:r>
        <w:t>En l’espèce, le juge de première instance a ordonné le partage par moitié des prestations de sortie acquises durant le mariage par les demandeurs. Les dates pertinentes sont, d’une part, le 4 novembre 1989, date du mariage, d’autre part le 31 janvier 2010, date à laquelle le jugement de divorce est devenu exécutoire.</w:t>
      </w:r>
    </w:p>
    <w:p>
      <w:r>
        <w:rPr>
          <w:b/>
        </w:rPr>
        <w:t>E. 4</w:t>
      </w:r>
    </w:p>
    <w:p>
      <w:r>
        <w:t>Selon l'art. 30c al. 6 LPP, lorsque les époux divorcent avant la survenance d'un cas de prévoyance, le versement anticipé est considéré comme une prestation de libre passage et il est partagé conformément aux art. 122, 123 et 141 CC, et à l'art. 22 LFLP. Le versement anticipé reçu de l'institution de prévoyance et investi dans un bien immobilier équivaut à une prestation de libre passage au sens de l'art. 22 al. 2 LFLP; il doit donc être ajouté aux autres valeurs qui sont déterminantes pour les prestations de sortie au sens de l'art. 122 al. 1 CC (Thomas SUTTER/Dieter FREIBURGHAUS, Kommentar zumneuen Scheidungsrecht, Zurich 1999, ad art. 122/141-142 n° 44). Seuls sont pris en considération les montants qui font encore l'objet d'une obligation de remboursement au moment du divorce; ils sont à comptabiliser dans la prestation de sortie au moment du divorce (ATF 128 V 235 consid. 3b et les références; ATFA du 22 juillet 2005, B 18/04). A la différence de la prestation de sortie, le versement anticipé pour l'acquisition d'un logement conserve sa valeur nominale jusqu'au divorce. Il ne produit donc pas d'intérêts au sens de l'art. 22 al. 2 deuxième phrase LFLP. En effet, ces intérêts, échus durant le mariage et qui profitent au conjoint affilié à l'institution de prévoyance, sont destinés à compenser l'inflation (ATF 128 V 230).</w:t>
      </w:r>
    </w:p>
    <w:p>
      <w:r>
        <w:rPr>
          <w:b/>
        </w:rPr>
        <w:t>E. 5</w:t>
      </w:r>
    </w:p>
    <w:p>
      <w:r>
        <w:t>Selon les documents produits, la prestation acquise pendant le mariage par le demandeur s'élève à 194'249 fr. 75 (20'708.70 + 7'852.05 + 177'811.10 + 5'532.70 - 17'654.80) tandis que celle acquise par la demanderesse atteint la somme de 42'614 fr. 50 (91 + 254.75 + 42'268.75), les intérêts ayant déjà été calculés par les institutions de prévoyance défenderesses. Ainsi le demandeur doit à son ex-épouse le montant de 97'124 fr. 90 (194'249.75 : 2) alors qu'elle lui doit celui de 21'307 fr. 25 (42'614.50 : 2), de sorte que c’est en définitive le demandeur qui doit à son ex-épouse le montant de 75'817 fr. 65 (97'124.90 - 21'307.25).</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w:t>
      </w:r>
    </w:p>
    <w:p>
      <w:r>
        <w:t>A/3610/2010 6/7 de l'ordonnance sur la prévoyance professionnelle vieillesse, survivants et invalidité du 18 avril 1984 (OPP 2) ou selon le taux réglementaire, si celui-ci est supérieur (ATF non publié B 36/02 du 18 juillet 2003).</w:t>
      </w:r>
    </w:p>
    <w:p>
      <w:r>
        <w:rPr>
          <w:b/>
        </w:rPr>
        <w:t>E. 7</w:t>
      </w:r>
    </w:p>
    <w:p>
      <w:r>
        <w:t>Aucun émolument ne sera perçu, la procédure étant gratuite (art. 73 al. 2 LPP et 89H al. 1 de la loi sur la procédure administrative du 12 septembre 1985).</w:t>
      </w:r>
    </w:p>
    <w:p>
      <w:r>
        <w:t>A/3610/2010 7/7</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