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ATAS/347/2021 vom 20. April 2021</w:t>
      </w:r>
    </w:p>
    <w:p>
      <w:r>
        <w:t>GE Cour de justice, 2021-04-20, FR</w:t>
      </w:r>
    </w:p>
    <w:p>
      <w:r>
        <w:rPr>
          <w:b/>
        </w:rPr>
        <w:t xml:space="preserve">Quelle: </w:t>
      </w:r>
      <w:r>
        <w:t>https://mcp.opencaselaw.ch/entscheid/ge_gerichte_ATAS_347_2021</w:t>
      </w:r>
    </w:p>
    <w:p>
      <w:r>
        <w:t>FR: GE_GERICHTE ATAS/347/2021 du 20 avril 2021</w:t>
      </w:r>
    </w:p>
    <w:p>
      <w:r>
        <w:t>IT: GE_GERICHTE ATAS/347/2021 del 20 aprile 2021</w:t>
      </w:r>
    </w:p>
    <w:p>
      <w:pPr>
        <w:pStyle w:val="Heading2"/>
      </w:pPr>
      <w:r>
        <w:t>Erwägungen</w:t>
      </w:r>
    </w:p>
    <w:p>
      <w:r>
        <w:rPr>
          <w:b/>
        </w:rPr>
        <w:t>E. 1</w:t>
      </w:r>
    </w:p>
    <w:p>
      <w:r>
        <w:t>La chambre des assurances sociales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a. Aux termes de l’art. 56 al. 1 LPGA, applicable par renvoi de l’art. 1 al. 1ère phr. LAFam (cf. aussi art. 22 LAFam),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En vertu de l’art. 39 al. 1 LPGA, également applicable par analogie (art. 62 al. 2 LPGA), les écrits doivent être remis au plus tard le dernier jour du délai à l'assureur ou, à son adresse, à La Poste suisse ou à une représentation diplomatique ou consulaire suisse. b. La LAF ne prévoit pas des règles différentes. En effet, d’une part, à teneur de l’art. 38A al. 1 LAF, les décisions sur opposition, et celles contre lesquelles la voie de l’opposition n’est pas ouverte, peuvent faire l’objet d’un recours auprès de la chambre des assurances sociales, dans un délai de trente jours à partir de leur notification. D’autre part, et pour le reste, la LPGA s’applique par renvoi de l’art. 2B let. a – qui renvoie d’abord à la LAFam et, par cette dernière, à la LPGA – et b LAF (dans ce sens aussi, ATAS/515/2010 du 3 mai 2010 consid. 2b). c. Conformément à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3</w:t>
      </w:r>
    </w:p>
    <w:p>
      <w:r>
        <w:t>En l’espèce, la décision litigieuse ayant été notifiée le 26 octobre 2020 à l’intéressée, le délai de recours de trente jours a commencé à courir le lendemain, soit le 27 octobre 2020 et est arrivé à terme le mercredi 25 novembre 2020. Le recours, expédié le 30 novembre 2020, est donc tardif.</w:t>
      </w:r>
    </w:p>
    <w:p>
      <w:r>
        <w:t>A/4027/2020 - 4/5 -</w:t>
      </w:r>
    </w:p>
    <w:p>
      <w:r>
        <w:rPr>
          <w:b/>
        </w:rPr>
        <w:t>E. 4</w:t>
      </w:r>
    </w:p>
    <w:p>
      <w:r>
        <w:t>Par ailleurs, la recourante ne formule pas une demande de restitution de délai au sens de l’art. 41 LPGA, ni, du reste, ne fait valoir une éventuelle circonstance susceptible de justifier le cas échéant une telle restitution.</w:t>
      </w:r>
    </w:p>
    <w:p>
      <w:r>
        <w:rPr>
          <w:b/>
        </w:rPr>
        <w:t>E. 5</w:t>
      </w:r>
    </w:p>
    <w:p>
      <w:r>
        <w:t>Au vu de ce qui précède, il y a lieu, sans instruction préalable (art. 72 de la loi sur la procédure administrative du 12 septembre 1985 [LPA-GE - E 5 10]), de constater que le recours est manifestement irrecevable pour cause de tardiveté.</w:t>
      </w:r>
    </w:p>
    <w:p>
      <w:r>
        <w:rPr>
          <w:b/>
        </w:rPr>
        <w:t>E. 6</w:t>
      </w:r>
    </w:p>
    <w:p>
      <w:r>
        <w:t>La procédure est gratuite (art. 61 let. a LPGA, applicable ratione temporis conformément à l’art. 83 LPGA).</w:t>
      </w:r>
    </w:p>
    <w:p>
      <w:r>
        <w:t>******</w:t>
      </w:r>
    </w:p>
    <w:p>
      <w:r>
        <w:t>A/4027/2020 - 5/5 -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