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ATAS/347/2016 vom 2. Mai 2016</w:t>
      </w:r>
    </w:p>
    <w:p>
      <w:r>
        <w:t>GE Cour de justice, 2016-05-02, FR</w:t>
      </w:r>
    </w:p>
    <w:p>
      <w:r>
        <w:rPr>
          <w:b/>
        </w:rPr>
        <w:t xml:space="preserve">Quelle: </w:t>
      </w:r>
      <w:r>
        <w:t>https://mcp.opencaselaw.ch/entscheid/ge_gerichte_ATAS_347_2016</w:t>
      </w:r>
    </w:p>
    <w:p>
      <w:r>
        <w:t>FR: GE_GERICHTE ATAS/347/2016 du 2 mai 2016</w:t>
      </w:r>
    </w:p>
    <w:p>
      <w:r>
        <w:t>IT: GE_GERICHTE ATAS/347/2016 del 2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de l'assuré aux prestations de la LAI.</w:t>
      </w:r>
    </w:p>
    <w:p>
      <w:r>
        <w:rPr>
          <w:b/>
        </w:rPr>
        <w:t>E. 6</w:t>
      </w:r>
    </w:p>
    <w:p>
      <w:r>
        <w:t>Le recourant invoque que la décision ne comportait pas d'indication sur les voies de droit et qu'il y avait lieu de se demander si elle n'était pas nulle de ce fait.</w:t>
      </w:r>
    </w:p>
    <w:p>
      <w:r>
        <w:rPr>
          <w:b/>
        </w:rPr>
        <w:t>E. 7</w:t>
      </w:r>
    </w:p>
    <w:p>
      <w:r>
        <w:t>Selon l'art. 49 al. 3 LPGA les décisions indiquent les voies de droit et la notification irrégulière d'une décision ne doit entraîner aucun préjudice pour l'intéressé. La notification irrégulière d'une décision n'a pas pour effet d'empêcher indéfiniment le délai de recours de courir, et n'est de surcroît pas nécessairement nulle. Chacun sait en effet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(ATF 121 II 72 consid. 2a; ATF 119 IV 330 consid. 1c et la jurisprudence citée). Cela signifie notamment qu'une décision, fût-elle notifiée de manière irrégulière, peut entrer en force si elle n'est pas contestée dans un délai raisonnable (SJ 2000 I p. 118; ATF non publié 8C_557/2009 du 28 août 2009, consid. 3). La protection garantie par la loi est en effet réalisée lorsqu’une notification objectivement irrégulière atteint son but malgré cette irrégularité. Il convient donc d’examiner,</w:t>
      </w:r>
    </w:p>
    <w:p>
      <w:r>
        <w:t>A/752/2015 - 14/22 - dans les circonstances concrètes du cas d’espèce, la question de savoir si la partie intéressée a réellement été induite en erreur par l’irrégularité de la notification et si elle a, de ce fait, subi un préjudice. À cet égard, il y a lieu de s’en tenir aux règles de la bonne foi, qui imposent une limite à l’invocation d’un vice de forme (cf. ATF 111 V 150 consid. 4c et les références ; RCC 1989 p. 192 consid. 2a et les références ; ATFA non publié K 140/04 du 1er février 2005, consid. 3.1).</w:t>
      </w:r>
    </w:p>
    <w:p>
      <w:r>
        <w:rPr>
          <w:b/>
        </w:rPr>
        <w:t>E. 8</w:t>
      </w:r>
    </w:p>
    <w:p>
      <w:r>
        <w:t>En l'espèce, l'assuré a pu exercer son droit de recours dans le délai légal, malgré le fait que la décision ne comportait pas de droit de recours. Cette lacune ne lui a ainsi causé aucun préjudice et ne rend pas nulle la décision querellée.</w:t>
      </w:r>
    </w:p>
    <w:p>
      <w:r>
        <w:rPr>
          <w:b/>
        </w:rPr>
        <w:t>E. 9</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w:t>
      </w:r>
    </w:p>
    <w:p>
      <w:r>
        <w:t>A/752/2015 - 15/22 -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11</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n'y a pas lieu d'examiner la situation d'un patient sous l'angle de la jurisprudence relative aux troubles sans pathogénèse ni étiologie claire et sans constat de déficit organique, lorsqu'aucune pièce médicale au dossier ne laisse apparaître qu'il a fait l'objet d'un diagnostic relevant de cette sphère pathologique (ATF 141 V 281 consid. 2.1. p. 285). Même si le patient souffre de douleurs chroniques dont l'importance n'est pas corrélée avec les constatations objectives mises en évidence sur le plan clinique, l'application de la jurisprudence précitée est exclue lorsque les douleurs trouvent leur origine dans une affection somatique objective (arrêt du Tribunal fédéral 9C_371/2015 du 24 mars 2016).</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w:t>
      </w:r>
    </w:p>
    <w:p>
      <w:r>
        <w:t>A/752/2015 - 16/22 -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14</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15</w:t>
      </w:r>
    </w:p>
    <w:p>
      <w:r>
        <w:t>a. Sans remettre en cause le principe de la libre appréciation des preuves, le Tribunal fédéral des assurances a posé des lignes directrices en ce qui concerne la manière d'apprécier certains types d'expertises ou de rapports médicaux.</w:t>
      </w:r>
    </w:p>
    <w:p>
      <w:r>
        <w:t>A/752/2015 - 17/22 -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w:t>
      </w:r>
    </w:p>
    <w:p>
      <w:r>
        <w:t>A/752/2015 - 18/22 -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w:t>
      </w:r>
    </w:p>
    <w:p>
      <w:r>
        <w:t>A/752/2015 - 19/22 -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17</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18</w:t>
      </w:r>
    </w:p>
    <w:p>
      <w:r>
        <w:t>Le recourant fait valoir, en substance, dans son recours et sa réplique, que les médecins des HUG avaient posé le diagnostic de syndrome douloureux chronique et qu'une expertise psychiatrique devait, en conséquence, être ordonnée, compte tenu de la nouvelle jurisprudence du Tribunal fédéral en matière de trouble somatoforme douloureux. Le Dr T______ a précisé, le 15 mars 2016, au sujet de son diagnostic de syndrome douloureux chronique, que les douleurs du patient avaient partiellement une base organique liée à l'accident et que l'évolution chronique de son état de santé avait sans doute été favorisée par d'autres éléments extra-traumatiques, dont notamment un contexte social difficile, ce qu'il avait déjà relevé les 31 janvier 2013 et</w:t>
      </w:r>
    </w:p>
    <w:p>
      <w:r>
        <w:rPr>
          <w:b/>
        </w:rPr>
        <w:t>E. 23</w:t>
      </w:r>
    </w:p>
    <w:p>
      <w:r>
        <w:t>Le recourant, qui succombe, ne pas sera condamné au paiement d'un émolument de jugement, dès lors qu'il est au bénéfice de l'assistance juridique (art. 69 al. 1bis LAI).</w:t>
      </w:r>
    </w:p>
    <w:p>
      <w:r>
        <w:t>A/752/2015 - 22/22 -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