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ATAS/347/2009 vom 24. März 2009</w:t>
      </w:r>
    </w:p>
    <w:p>
      <w:r>
        <w:t>GE Cour de justice, 2009-03-24, FR</w:t>
      </w:r>
    </w:p>
    <w:p>
      <w:r>
        <w:rPr>
          <w:b/>
        </w:rPr>
        <w:t xml:space="preserve">Quelle: </w:t>
      </w:r>
      <w:r>
        <w:t>https://mcp.opencaselaw.ch/entscheid/ge_gerichte_ATAS_347_2009</w:t>
      </w:r>
    </w:p>
    <w:p>
      <w:r>
        <w:t>FR: GE_GERICHTE ATAS/347/2009 du 24 mars 2009</w:t>
      </w:r>
    </w:p>
    <w:p>
      <w:r>
        <w:t>IT: GE_GERICHTE ATAS/347/2009 del 24 marzo 2009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Donne acte aux parties de ce que le recours est devenue sans objet.</w:t>
      </w:r>
    </w:p>
    <w:p>
      <w:r>
        <w:rPr>
          <w:b/>
        </w:rPr>
        <w:t>E. 2</w:t>
      </w:r>
    </w:p>
    <w:p>
      <w:r>
        <w:t>Invite le SERVICE DES PRESTATIONS COMPLEMENTAIRES à verser au recourant 1'000 fr. à titre de dépens.</w:t>
      </w:r>
    </w:p>
    <w:p>
      <w:r>
        <w:rPr>
          <w:b/>
        </w:rPr>
        <w:t>E. 3</w:t>
      </w:r>
    </w:p>
    <w:p>
      <w:r>
        <w:t>L’y condamne en tant que de besoin.</w:t>
      </w:r>
    </w:p>
    <w:p>
      <w:r>
        <w:t>La greffière :</w:t>
      </w:r>
    </w:p>
    <w:p>
      <w:r>
        <w:t>Brigitte BABEL</w:t>
      </w:r>
    </w:p>
    <w:p>
      <w:r>
        <w:t>La Présidente :</w:t>
      </w:r>
    </w:p>
    <w:p>
      <w:r>
        <w:t>Isabelle DUBOIS Une copie conforme du présent arrêt est notifiée aux parties ainsi qu’à l’Office fédéral des assurances sociales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