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ATAS/346/2016 vom 2. Mai 2016</w:t>
      </w:r>
    </w:p>
    <w:p>
      <w:r>
        <w:t>GE Cour de justice, 2016-05-02, FR</w:t>
      </w:r>
    </w:p>
    <w:p>
      <w:r>
        <w:rPr>
          <w:b/>
        </w:rPr>
        <w:t xml:space="preserve">Quelle: </w:t>
      </w:r>
      <w:r>
        <w:t>https://mcp.opencaselaw.ch/entscheid/ge_gerichte_ATAS_346_2016</w:t>
      </w:r>
    </w:p>
    <w:p>
      <w:r>
        <w:t>FR: GE_GERICHTE ATAS/346/2016 du 2 mai 2016</w:t>
      </w:r>
    </w:p>
    <w:p>
      <w:r>
        <w:t>IT: GE_GERICHTE ATAS/346/2016 del 2 maggio 2016</w:t>
      </w:r>
    </w:p>
    <w:p>
      <w:pPr>
        <w:pStyle w:val="Heading2"/>
      </w:pPr>
      <w:r>
        <w:t>Erwägungen</w:t>
      </w:r>
    </w:p>
    <w:p>
      <w:r>
        <w:rPr>
          <w:b/>
        </w:rPr>
        <w:t>E. 33</w:t>
      </w:r>
    </w:p>
    <w:p>
      <w:r>
        <w:t>La recourante a demandé à la chambre des assurances sociales, le 9 décembre 2015, d'écarter le courrier de l'intimée du 27 novembre 2015 estimant que la SUVA agissait de façon contraire au principe de la bonne foi en demandant des questions complémentaires et en reportant ainsi le moment où elle pourrait recevoir les prestations qui lui étaient dues. L'expertise judiciaire était claire, détaillée convaincante. Ce n'était pas l'avis d'un médecin employé par la SUVA qui pouvait la remettre en cause.</w:t>
      </w:r>
    </w:p>
    <w:p>
      <w:r>
        <w:rPr>
          <w:b/>
        </w:rPr>
        <w:t>E. 34</w:t>
      </w:r>
    </w:p>
    <w:p>
      <w:r>
        <w:t>Sur ce,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la forme et le délai prévus par la loi, le recours est recevable (art. 56 ss LPGA). 4. Le litige porte sur la question de savoir si les prestations de l'assurance-accidents étaient encore dues par l'intimée dès le 4 novembre 2013, et en particulier, s'il y a un lien de causalité naturelle et adéquate entre l'accident, subi par la recourante le 6 septembre 2013, et son atteinte à la santé dès le 4 novembre 2013. 5. a.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w:t>
      </w:r>
    </w:p>
    <w:p>
      <w:r>
        <w:t>A/1616/2014 - 12/18 - extérieure extraordinaire qui compromet la santé physique, mentale ou psychique ou qui entraîne la mort.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(Arrêt du Tribunal fédéral 8C_535/2008 du 2 février 2009 consid. 2.3).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8C_463/2009 du 23 novembre 2009 consid. 3). b.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w:t>
      </w:r>
    </w:p>
    <w:p>
      <w:r>
        <w:t>A/1616/2014 - 13/18 - prolongé, des modifications organiques ou psychiques qui conduisent souvent à un état pathologique différent (ATF 123 V 138 consid. 3a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353 consid. 5b; ATF 125 V 193 consid. 2; RAMA 2000 n° U 363 p. 46). 6. a. La plupart des éventualités assurées (par exemple la maladie, l'accident, l'incapacité de travail, l'invalidité, l'atteinte à l'intégrité physique ou mentale) supposent l'instruction de faits d'ordre médical. Or, pour pouvoir établir le droit de</w:t>
      </w:r>
    </w:p>
    <w:p>
      <w:r>
        <w:t>A/1616/2014 - 14/18 -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w:t>
      </w:r>
    </w:p>
    <w:p>
      <w:r>
        <w:t>A/1616/2014 - 15/18 - médical et l'appréciation de la situation médicale soient claires et enfin que les conclusions de l'expert soient dûment motivées (ATF 125 V 351 consid. 3 et les références).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9. a. En l'espèce, le Dr L______, spécialiste FMH en chirurgie de l'appareil locomoteur, en chirurgie arthroscopique ainsi qu'en médecine du sport et de l'activité physique, a rendu son rapport d'expertise en se fondant sur le dossier médical complet de l'assurée et après avoir reçu cette dernière à trois reprises en consultation. Il a effectué des recherches dans la littérature médicale et a pris contact avec les Drs J______, radiologue, et E______, neurologue. Son rapport contient une anamnèse et des constats objectifs fondés sur l'examen clinique de l'expertisée. Il a précisé que les examens paracliniques n'étaient pas contributifs dans le cas d'espèce et a répondu de façon détaillée aux questions posées, justifiant ses conclusions par rapport à celles contraires d'autres praticiens. Ses conclusions sont claires et ne contiennent pas d'indice faisant douter de leur pertinence. Une pleine force probante doit ainsi être reconnue à l'expertise. b. L'intimée a fait valoir que selon l'appréciation neurologique du Dr M______, il n'existait en réalité pas d'indication confirmant, directement ou indirectement, une lésion du nerf tibial, en dehors des plaintes (subjectives) de l'assurée. Cet avis médical ne remet pas sérieusement en cause les conclusions de l'expert, dès lors que ce dernier a précisé de manière complète et convaincante que dans le cas d'espèce, les critères diagnostics étaient principalement donnés par la clinique et pas par l'imagerie et qu'il était admis que l'atteinte d'un nerf créait une douleur</w:t>
      </w:r>
    </w:p>
    <w:p>
      <w:r>
        <w:t>A/1616/2014 - 16/18 - importante qui n'était souvent pas en corrélation avec ce que l'imagerie pouvait illustrer. L'expert a encore indiqué que le CT/SCAN demandé en novembre 2013 n'était pas l'examen de choix pour la recherche d'une pathologie des tissus mous, qu'un examen IRM aurait été plus probablement pertinent dès mi-septembre et que la capacité d'une IRM effectuée fin février 2014, soit six mois après l'accident, de montrer des signes directs ou indirects de pathologie aiguë post-traumatique était très réduite. c. L'intimé a relevé qu'il n'était pas anodin de relever qu'aucun expert ne faisait mention de séquelles post-traumatiques. A cet égard, il convient de rappeler qu'un seul expert a été mandaté dans la présente procédure et qu'il s'agit du Dr L______, les médecins qui ont établi les autres rapports médicaux figurant au dossier ne peuvent être qualifiés d'experts. d. L'intimée soutient que les différentes investigations médicales, en particulier l'imagerie, n'avaient pas permis d'objectiver plus que des signes d'arthrose active cunéo-métatarsien intermédiaire du pied droit. Un syndrome du tunnel tarsien droit n'avait pas été établi avec le degré nécessaire de la vraisemblance prépondérante. Si l'on doit admettre que le diagnostic retenu par l'expert n'est pas établi par l'imagerie, il n'en reste pas moins que ce diagnostic est suffisamment établi, au degré de la vraisemblance prépondérante, par les constatations cliniques faites par l'expert. e. Il n'y a pas lieu de demander à l'expert des explications complémentaires relatives à sa conclusion d'un syndrome du tunnel tarsien, étant précisé que l'expert n'a pas mentionné ce syndrome dans son diagnostic, au vu de la clarté des explications qu'il a données sur la façon dont il avait posé son diagnostic. f. Il ne se justifie pas non plus de demander à l'expert de préciser le mécanisme exact par lequel la torsion de la cheville de l'assurée a pu causer une lésion du nerf tibial postérieur, dès lors qu'il a déjà indiqué dans son rapport que l'atteinte s'était produite par un mécanisme de compression de la partie arrière du pied quand il s'était trouvé pris en étau, coincé, entre les dalles le 6 septembre 2013. g. L'intimé souhaite encore que l'expert explique les raisons pour lesquelles les douleurs de l'assurée étaient actuellement plus intenses sur le côté extérieur du pied, territoire sensitif non pas du nerf plantaire mais du nerf sural. L'intimé semble ainsi mettre en doute les conclusions de l'expert, sans indiquer clairement en quoi elles ne seraient pas convaincantes. Cette question ne justifie pas un complément de l'expertise, dont la valeur probante n'apparaît pas sérieusement contestable. h. Enfin, l'intimée souhaite que l'expert explique concrètement les raisons pour lesquelles l'arthrose active, la fascéite plantaire, voire l'éperon plantaire ne contribuaient pas à la symptomatologie actuelle.</w:t>
      </w:r>
    </w:p>
    <w:p>
      <w:r>
        <w:t>A/1616/2014 - 17/18 - L'expert a donné des explications détaillées à ce sujet, en indiquant que le SPECT/CT du 11 février 2014 relevait des signes d'arthrose du pied droit et qu'il avait sollicité l'avis du Dr K______ dans le cadre de son examen. Il avait finalement constaté sur les images, qui figurent en page 7 de l'expertise, que l'atteinte ne correspondait pas avec le site douloureux cliniquement. Ces explications répondent à la question de l'intimée. i. Au vu des considérations qui précèdent, la chambre de céans se fondera sur le rapport d'expertise du 19 octobre 2015 et ne donnera pas suite à la demande de complément formée par l'intimée. j. Il en résulte qu'il est établi avec le degré de vraisemblance requis par la jurisprudence que l'atteinte à la santé de la recourante dès le 4 novembre 2013 était encore en lien de causalité naturelle et adéquate avec l'accident du 6 septembre 2013. k. Au vu des conclusions de l'expertise, l'atteinte à la santé de la recourante dès le 4 novembre 2013, est entièrement due aux conséquences de l'accident et pas à l'arthropathie dégénérative dont elle souffre qui n'est pas symptomatique, de sorte que l'on ne se trouve pas dans un cas d'application de l'art. 36 al. 1 LAA, qui traite des cas dans lesquels l'atteinte est partiellement due aux conséquences d'un accident. 10. Au vu des considérations qui précèdent, l’intimée ne pouvait refuser à la recourante les prestations de l'assurance-accidents à la suite de sa nouvelle incapacité de travail dès le 4 novembre 2013, en application de l'art. 6 al. 1 LAA. 11. Le recours sera donc admis, la décision de l'intimée du 2 mai 2014 annulée et il sera dit que l'intimée doit prendre en charge des prestations dues à la recourante au- delà du 4 novembre 2013. 12. La recourante, qui est représentée et qui obtient gain de cause, a droit à une indemnité à titre de participation à ses frais et dépens qui sera fixée à CHF 4'000.- (art. 61 let. g LPGA; art. 89 H de la loi sur la procédure administrative du 12 septembre 1985 [LPA - E 5 10]; art. 6 du règlement sur les frais, émoluments et indemnités en procédure administrative du 30 juillet 1986 [RFPA - E 5 10.03]). 13. Pour le surplus, la procédure est gratuite (art. 61 let. a LPGA).</w:t>
      </w:r>
    </w:p>
    <w:p>
      <w:r>
        <w:t>A/1616/2014 - 18/18 -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