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ATAS/345/2025 vom 14. Mai 2025</w:t>
      </w:r>
    </w:p>
    <w:p>
      <w:r>
        <w:t>GE Cour de justice, 2025-05-14, FR</w:t>
      </w:r>
    </w:p>
    <w:p>
      <w:r>
        <w:rPr>
          <w:b/>
        </w:rPr>
        <w:t xml:space="preserve">Quelle: </w:t>
      </w:r>
      <w:r>
        <w:t>https://mcp.opencaselaw.ch/entscheid/ge_gerichte_ATAS_345_2025</w:t>
      </w:r>
    </w:p>
    <w:p>
      <w:r>
        <w:t>FR: GE_GERICHTE ATAS/345/2025 du 14 mai 2025</w:t>
      </w:r>
    </w:p>
    <w:p>
      <w:r>
        <w:t>IT: GE_GERICHTE ATAS/345/2025 del 14 maggio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w:t>
      </w:r>
    </w:p>
    <w:p>
      <w:r>
        <w:t>A/1405/2024 - 13/21 - du 6 octobre 2000 (LPGA - RS 830.1) relatives à la loi fédérale sur l'assurance- accidents, du 20 mars 1981 (LAA - RS 832.20). Sa compétence pour juger du cas d’espèce est ainsi établie.</w:t>
      </w:r>
    </w:p>
    <w:p>
      <w:r>
        <w:rPr>
          <w:b/>
        </w:rPr>
        <w:t>E. 1.2</w:t>
      </w:r>
    </w:p>
    <w:p>
      <w:r>
        <w:t>Interjeté dans la forme (art. 61 let. b LPGA, applicable par le renvoi de l'art. 1 al. 1 LAA) et le délai de trente jours (art. 60 LPGA ; art. 62 al. 1 let. a de la loi sur la procédure administrative du 12 septembre 1985 [LPA - E 5 10]) prévus par la loi, compte tenu de la suspension des délais du 7e jour avant Pâques au 7e jour après Pâques inclusivement (art. 38 al. 4 let. a LPGA et art. 89C let. a LPA), le recours est recevable.</w:t>
      </w:r>
    </w:p>
    <w:p>
      <w:r>
        <w:rPr>
          <w:b/>
        </w:rPr>
        <w:t>E. 2</w:t>
      </w:r>
    </w:p>
    <w:p>
      <w:r>
        <w:t>Le litige porte sur la stabilisation de l'état de santé du recourant, sur sa capacité de travail dans une activité adaptée et sur son degré d'invalidité.</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w:t>
      </w:r>
    </w:p>
    <w:p>
      <w:r>
        <w:rPr>
          <w:b/>
        </w:rPr>
        <w:t>E. 3.2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3.3</w:t>
      </w:r>
    </w:p>
    <w:p>
      <w:r>
        <w:t>Si l’assuré est invalide (art. 8 LPGA) à 10% au moins par suite d’un accident, il a droit à une rente d’invalidité, pour autant que l’accident soit survenu avant l’âge de référence (art. 18 al. 1 LAA dans sa teneur en vigueur depuis le 1er janvier 2024).</w:t>
      </w:r>
    </w:p>
    <w:p>
      <w:r>
        <w:rPr>
          <w:b/>
        </w:rPr>
        <w:t>E. 3.3.1</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w:t>
      </w:r>
    </w:p>
    <w:p>
      <w:r>
        <w:t>A/1405/2024 - 14/21 -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w:t>
      </w:r>
    </w:p>
    <w:p>
      <w:r>
        <w:rPr>
          <w:b/>
        </w:rPr>
        <w:t>E. 3.3.2</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A/1405/2024 - 15/21 - l'expert soient bien motivées (ATF 134 V 231 consid. 5.1 ; 133 V 450 consid. 11.1.3 ;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(cf. ATF 125 V 351 consid. 3a ; 122 V 157 consid. 1c</w:t>
      </w:r>
    </w:p>
    <w:p>
      <w:r>
        <w:t>A/1405/2024 - 16/21 -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3.5</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4.1</w:t>
      </w:r>
    </w:p>
    <w:p>
      <w:r>
        <w:t>En l'espèce, l'intimée, en s'appuyant sur les appréciations de son médecin d'arrondissement des 6 janvier 2023 (pièce 333) et 30 août 2024 (produite le 23 septembre 2024), considère que l'état de santé du recourant était stabilisé au 31 août 2023. Comme le relève le recourant, les médecins de la CRR, où il avait séjourné du 28 septembre au 19 octobre 2022, se sont trompés en mentionnant dans leur rapport du 26 octobre 2022 qu'il avait bénéficié d'une prise en charge par ostéotomie de la tubérosité tibiale antérieure (TTA) [à gauche]. Car, dans un rapport du 18 mars 2021, le Dr F______, médecin adjoint au service de chirurgie orthopédique et traumatologie de l'appareil moteur des HUG, a indiqué que l'ostéotomie de la TTA n'avait pas été pratiquée lors de l'intervention du 17 mars 2021, ayant consisté notamment en l'ablation du matériel d'ostéosynthèse de la rotule gauche, et en l'arthrotomie parapatellaire interne avec adhésiolyse à ciel ouvert.</w:t>
      </w:r>
    </w:p>
    <w:p>
      <w:r>
        <w:t>A/1405/2024 - 17/21 - Cela étant, les médecins de la CRR ont relevé que la situation médicale était stabilisée, qu'aucune nouvelle intervention n'était proposée et que la poursuite d'un traitement de physiothérapie pourrait permettre de maintenir les acquis (pièce 314 p. 8). Il ressort effectivement du dossier qu'au 3 mai 2022, les douleurs du recourant persistaient, que les séances de physiothérapie étaient inefficaces et qu'il n'y avait aucune proposition chirurgicale. Le Dr F______ adressait alors le recourant à la consultation ambulatoire de l'antalgie des HUG (rapport du 19 mai 2022). Le 13 mars 2023, le Dr F______ convenait avec le recourant de ne pas effectuer de nouvelle intervention sur le genou gauche en raison de l'incertitude du résultat (rapport du 27 mars 2023). Le 25 avril 2023, le Dr F______ relevait qu'il n'y avait pas d'option chirurgicale concernant le fémur droit. S'agissant du genou gauche, il répétait qu'il y avait théoriquement la possibilité d'une ostéotomie de la TTA avec proximalisation de la rotule, mais qu'il existait un risque de récidive de raideur articulaire. Le recourant n'envisageant pas non plus cette opération, le médecin proposait la poursuite du traitement conservateur auprès du Dr K______, spécialiste en médecine physique et réadaptation (rapport du 5 mai 2023 ; pièce 375). Dans un rapport du 6 septembre 2023, le Dr F______ relevait que la situation médicale pouvait être considérée dorénavant comme stable (pièce 425 p. 1). Ainsi, au moment où l'intimée a pris la décision de mettre fin au paiement des soins médicaux et des indemnités journalières au 31 août 2023, il n'y avait plus de traitement médical susceptible d'améliorer l'état de santé du recourant. Dans ces conditions, l'intimée était fondée à clore le cas à cette date, et à examiner le droit éventuel du recourant à une rente d'invalidité de l'assurance-accidents, étant précisé que des mesures de réadaptation n'ont pas été mises en place par l'OAI. Le fait que, par avis du 14 mars 2023, le SMR a retenu que la situation médicale du recourant n'était pas encore stabilisée, n'est pas décisif. En effet, dans l'assurance-invalidité, l'invalidité est survenue dès qu'elle est, par sa nature et sa gravité, propre à ouvrir droit aux prestations entrant en considération. S'agissant de la détermination du droit à une rente d'invalidité, il faut ainsi examiner si les conditions de l'art. 28 al. 1 de la loi fédérale sur l'assurance-invalidité du 19 juin 1959 (LAI - RS 831.20) sont remplies. Contrairement à l'assurance-invalidité, l'assurance-accidents est, quant à elle, chargée du traitement de l'atteinte à la santé (cf. art. 10 LAA) et le droit à une rente de cette assurance ne dépend pas de la durée de l'incapacité de travail, mais du moment à partir duquel il n'y a plus lieu d'attendre de la continuation du traitement médical une sensible amélioration de l'état de l'assuré et du terme d'éventuelles mesures de réadaptation de l'assurance- invalidité. Les offices AI n'ont, quant à eux, pas à attendre l'issue des mesures thérapeutiques, ni la stabilisation du cas, mais sont tenus d'évaluer la capacité de gain des assurés bien avant (arrêt du Tribunal fédéral 8C_239/2020 du 19 avril 2021 consid. 8.2).</w:t>
      </w:r>
    </w:p>
    <w:p>
      <w:r>
        <w:t>A/1405/2024 - 18/21 - Le rapport du Dr F______ du 17 juin 2024 faisant état d'une chirurgie agendée au 29 août 2024 pour la mise en place d'une prothèse unicompartimentale fémoro- patellaire, associée à une proximalisation de la TTA, n'est pas non plus pertinent dans le cadre de la présente procédure, cette intervention étant postérieure à la décision litigieuse du 12 mars 2024. Pas plus que ne l'est le compte-rendu opératoire des HUG du 15 octobre 2024 relatif à l'intervention chirurgicale réalisée le 11 octobre 2024. Cette nouvelle circonstance peut éventuellement être considérée comme une rechute ou des séquelles tardives (cf. art. 11 de l’ordonnance sur l'assurance-accidents, du 20 décembre 1982 [OLAA - RS 832.202]), que le recourant peut faire valoir dans une procédure administrative séparée.</w:t>
      </w:r>
    </w:p>
    <w:p>
      <w:r>
        <w:rPr>
          <w:b/>
        </w:rPr>
        <w:t>E. 4.2</w:t>
      </w:r>
    </w:p>
    <w:p>
      <w:r>
        <w:t>En ce qui concerne la capacité de travail du recourant, le médecin d'arrondissement de l'intimée admet, dans son appréciation du 9 octobre 2023, qu'elle est nulle dans l'activité habituelle de maçon. En revanche, il estime que le recourant est apte à exercer à plein temps, sans baisse de rendement, une activité adaptée évitant le port de charges supérieures à 10 kg, la marche prolongée ainsi que sur terrain irrégulier, de même que la montée / descente d'escaliers, en se ralliant aux conclusions de la CRR. Or, dans son rapport du 26 octobre 2022, quand bien même la CRR estime que la capacité de travail du recourant est favorable dans une activité adaptée respectant les limitations fonctionnelles, elle ne se prononce pas sur le taux de la capacité de travail. Elle relève que, durant le séjour, le recourant a été suivi aux ateliers professionnels où il avait travaillé sur des périodes allant jusqu'à deux heures consécutives, avec des charges inférieures à 5 kg. Le temps de présence n'avait pas été augmentée en raison de douleurs signalées et de son incapacité à maintenir une position de travail plus de quinze minutes. Compte tenu de la simplicité de l'activité proposée et de la possibilité d'alterner les positons assises et debout, les résultats obtenus en terme de vitesse d'exécution et de qualité dénotaient des autolimitations, des incohérences et décrivaient un investissement faible (pièce 314 p. 7-8). Pourtant, il avait été constaté lors des ateliers professionnels que le recourant travaillait en position debout durant quinze minutes, puis assise durant quinze minutes également, qu'il alternait en permanence les positions assise et debout et prenait de nombreuses pauses (pièce 314 p. 16). On se demande alors si l'alternance des positions et les pauses sont médicalement indiquées et si elles justifient une baisse de rendement, puisque dans son avis du 14 mars 2023, le SMR, en se référant au rapport de la CRR précité, a admis, à titre de limitations fonctionnelles, la difficulté à maintenir la position de travail plus de quinze minutes malgré la possibilité d'alterner les positions, et a conclu à une capacité de travail nulle dans toute activité depuis le 4 mars 2020, date de l'accident (pièce 464 p. 3). Si l'assureur-accidents n'est effectivement pas lié par l'évaluation de l'invalidité de l'assurance-invalidité (ATF 131 V 362 consid. 2.3), les conclusions du SMR quant à la capacité de travail résiduelle du recourant reposent toutefois</w:t>
      </w:r>
    </w:p>
    <w:p>
      <w:r>
        <w:t>A/1405/2024 - 19/21 - exclusivement sur les seules séquelles de l'accident. Dans ces circonstances, il est difficilement compréhensible que le SMR et le médecin d'arrondissement aboutissent, sur le plan médical (factuel), à des conclusions diamétralement opposées s'agissant de la capacité de travail du recourant dans une activité adaptée. Par ailleurs, dans un rapport du 27 janvier 2022 à l'OAI, le Dr K______, qui a fait état d'une amyotrophie quadricipitale bilatérale, exposait que la mobilité restreinte et les douleurs de la nuque limitaient les mouvements de rotation (dossier AI p. 717-718) - étant rappelé que l'intimée a reconnu le lien de causalité entre l'atteinte à la colonne cervicale et l'accident. D'après ce médecin, il était difficile d'imaginer une activité adaptée, mais il évoquait l'éventualité d'une activité adaptée à temps partiel moyennant une adaptation de la place de travail et un rendement diminué (p. 719). On ignore toutefois à quel taux précis le recourant pourrait travailler dans une telle activité. Dans un rapport ultérieur du 11 août 2023 - dont le médecin d'arrondissement n'a pas tenu compte puisqu'il ne l'a pas cité dans son appréciation du 9 octobre 2023 -, le Dr K______ a répété qu'il avait de la peine à imaginer un travail adapté aux limitations fonctionnelles en raison de la faible mobilité et des douleurs chroniques. Dans son appréciation du 9 octobre 2023, le médecin d'arrondissement n'a pas non plus fait mention du rapport du 15 août 2023 de la Dre L______, médecin généraliste, dans lequel elle retenait une capacité de travail nulle dans toute activité, après avoir souligné que le recourant avait besoin des cannes pour les déplacements et devait alterner les positions. Le médecin d'arrondissement considère que l'utilisation des cannes est imputable à un déconditionnement du recourant, et que ce dernier n'a pas à les employer. Dans une précédente appréciation du 17 janvier 2022, le médecin d'arrondissement indiquait que les cannes n'étaient pas nécessaires, car la marche sans celles-ci s'avérait possible. Cela étant, dans un rapport du 10 novembre 2022 à l'OAI, soit après le premier examen par le médecin d'arrondissement ainsi qu'après le séjour à la CRR, le Dr K______ a fait état d'une amyotrophie quadricipitale bilatérale, et mentionné que le recourant marchait avec la jambe gauche tendue et qu'il présentait un lâchage du genou gauche s'il essayait de dérouler le pas (dossier AI p. 912). Dans un rapport du 11 novembre 2022 à l'intimée, le Dr K______ répétait que si la marche sans les cannes était possible pour quelques pas seulement avec la jambe gauche tendue, en revanche, le genou gauche lâchait lorsque le recourant essayait de dérouler le pas (dossier intimée pièce 317). Or, dans son appréciation du 17 janvier 2022, le médecin d'arrondissement semble se contredire lorsqu'il indique que la rééducation, pour donner de la proprioception et du muscle et se débarrasser ainsi de la dépendance aux cannes, devait être poursuivie à titre du maintien de la capacité de gain pendant une période de quatre à six mois au maximum (pièce 234 p. 15). Vu l'amyotrophie quadricipitale bilatérale dix mois plus tard, se pose la question de</w:t>
      </w:r>
    </w:p>
    <w:p>
      <w:r>
        <w:t>A/1405/2024 - 20/21 - savoir si cette atteinte et le port de cannes (pour autant qu'il soit justifié médicalement) se répercutent sur la capacité de travail du recourant dans une activité adaptée. Aussi ces éléments suscitent-ils à ce stade des doutes sur les conclusions du médecin d'arrondissement.</w:t>
      </w:r>
    </w:p>
    <w:p>
      <w:r>
        <w:rPr>
          <w:b/>
        </w:rPr>
        <w:t>E. 4.3</w:t>
      </w:r>
    </w:p>
    <w:p>
      <w:r>
        <w:t>En conséquence, la cause sera renvoyée à l'intimée afin qu'elle mette en œuvre une expertise dans une procédure au sens de l'art. 44 LPGA pour déterminer en particulier la capacité de travail du recourant dans une activité adaptée au 1er septembre 2023 (et depuis lors). Après quoi, elle rendra une nouvelle décision.</w:t>
      </w:r>
    </w:p>
    <w:p>
      <w:r>
        <w:rPr>
          <w:b/>
        </w:rPr>
        <w:t>E. 5</w:t>
      </w:r>
    </w:p>
    <w:p>
      <w:r>
        <w:t>Au vu de ce qui précède, le recours sera partiellement admis, la décision du 12 mars 2024 annulée et la cause renvoyée à l'intimée pour instruction complémentaire au sens des considérants et nouvelle décision. Le recourant, représenté par un avocat, obtenant partiellement gain de cause, une indemnité lui sera accordée à titre de participation à ses frais et dépens (art. 61 let. g LPGA ; art. 6 du règlement sur les frais, émoluments et indemnités en matière administrative du 30 juillet 1986 [RFPA - E 5 10.03]), fixée en l'espèce à CHF 1'500.-. Pour le surplus, la procédure est gratuite (art. 61 let. fbis LPGA a contrario).</w:t>
      </w:r>
    </w:p>
    <w:p>
      <w:r>
        <w:t>A/1405/2024 - 21/21 -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