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ATAS/345/2024 vom 16. Mai 2024</w:t>
      </w:r>
    </w:p>
    <w:p>
      <w:r>
        <w:t>GE Cour de justice, 2024-05-16, FR</w:t>
      </w:r>
    </w:p>
    <w:p>
      <w:r>
        <w:rPr>
          <w:b/>
        </w:rPr>
        <w:t xml:space="preserve">Quelle: </w:t>
      </w:r>
      <w:r>
        <w:t>https://mcp.opencaselaw.ch/entscheid/ge_gerichte_ATAS_345_2024</w:t>
      </w:r>
    </w:p>
    <w:p>
      <w:r>
        <w:t>FR: GE_GERICHTE ATAS/345/2024 du 16 mai 2024</w:t>
      </w:r>
    </w:p>
    <w:p>
      <w:r>
        <w:t>IT: GE_GERICHTE ATAS/345/2024 del 16 maggio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matérielle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délai de recours est de trente jours (art. 56 LPGA ;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w:t>
      </w:r>
    </w:p>
    <w:p>
      <w:r>
        <w:rPr>
          <w:b/>
        </w:rPr>
        <w:t>E. 5</w:t>
      </w:r>
    </w:p>
    <w:p>
      <w:r>
        <w:t>Le litige porte sur le lien de causalité entre les troubles du pied droit du recourant et l'événement du 11 novembre 2020 et singulièrement sur la date de statu quo.</w:t>
      </w:r>
    </w:p>
    <w:p>
      <w:r>
        <w:rPr>
          <w:b/>
        </w:rPr>
        <w:t>E. 6</w:t>
      </w:r>
    </w:p>
    <w:p>
      <w:r>
        <w:t>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t>A/2603/2023 - 7/13 -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w:t>
      </w:r>
    </w:p>
    <w:p>
      <w:r>
        <w:t>A/2603/2023 - 8/13 -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U 351/04 du 14 février 2006 consid. 3.2).</w:t>
      </w:r>
    </w:p>
    <w:p>
      <w:r>
        <w:rPr>
          <w:b/>
        </w:rPr>
        <w:t>E. 7.1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(ATF 125 V 351 consid. 3b).</w:t>
      </w:r>
    </w:p>
    <w:p>
      <w:r>
        <w:rPr>
          <w:b/>
        </w:rPr>
        <w:t>E. 7.3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A/2603/2023 - 9/13 -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7.4</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7.5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w:t>
      </w:r>
    </w:p>
    <w:p>
      <w:r>
        <w:t>A/2603/2023 - 10/13 -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I 751/03 du 19 mars 2004 consid. 3.3). Lorsque le juge des assurances sociales constate qu'une instruction est nécessaire, il doit en principe mettre lui- 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De plus, il appartient en premier lieu à l'assureur-accidents de procéder à des instructions complémentaires pour établir d'office l'ensemble des faits déterminants et, le cas échéant, d'administrer les preuves nécessaires avant de rendre sa décision, en vertu de l'art. 43 al. 1 LPGA (ATF 132 V 368 consid. 5 ; arrêt du Tribunal fédéral 8C_696/2022 du 2 juin 2023 consid. 4.5 et les références).</w:t>
      </w:r>
    </w:p>
    <w:p>
      <w:r>
        <w:rPr>
          <w:b/>
        </w:rPr>
        <w:t>E. 9</w:t>
      </w:r>
    </w:p>
    <w:p>
      <w:r>
        <w:t>En l'espèce, se fondant sur l'appréciation médicale de ses médecins-conseils, les Drs F______ et G______, l’intimée considère que l’événement du 11 novembre 2020 a cessé de déployer ses effets le 2 décembre 2020, soit trois semaines après l’événement. L’assuré, en revanche, considère que l’instruction est lacunaire et, en se fondant sur les appréciations de ses médecins traitants, notamment le Dr E______, conclut que les prestations doivent être prises en charge au-delà du 2 décembre 2020, car la symptomatologie douloureuse du patient en date du 31 juillet 2023 serait encore due à l’accident.</w:t>
      </w:r>
    </w:p>
    <w:p>
      <w:r>
        <w:t>A/2603/2023 - 11/13 -</w:t>
      </w:r>
    </w:p>
    <w:p>
      <w:r>
        <w:rPr>
          <w:b/>
        </w:rPr>
        <w:t>E. 9.1</w:t>
      </w:r>
    </w:p>
    <w:p>
      <w:r>
        <w:t>À titre préalable, il convient d’observer le caractère variable des déclarations de l’assuré quant aux circonstances de l’accident. Dans la déclaration de sinistre, il expose qu’il remontait la pente d’un parking lorsqu’une voiture descendant à vive allure lui avait fait perdre l’équilibre et qu’il s’était tordu la cheville. Dans le formulaire d’AXA, sous rubrique « description de l’accident », il déclare qu’il descendait la rampe d’accès lorsqu’une voiture s’est engagée à vive allure en remontant la pente sans s’arrêter et l’a projeté de côté. Il a heurté violemment l’arrête de la bordure latérale en béton de la rampe, avec le pied droit et s’est tordu grièvement la cheville. Dans le rapport de Swiss MC du 21 mars 2022 adressé à AXA, il est mentionné sous « Indications de la personne accidentée » : « Touché par une voiture sortant du parking ». Or, le CT-scan, effectué par le Dr D______, seize jours après l’accident, soit le 27 novembre 2020, ne mentionne ni plaie, ni dermabrasion, ni œdème. Ce point a d’ailleurs été relevé par le médecin-conseil G______, dans son évaluation du dossier LAA du 26 septembre 2023, p. 3 (pce M18 chargé intimée) « selon la déclaration du patient il n’y a pas d’écrasement du pied ni de choc. Pas de lésion cutanée non plus (plaie, dermabrasion) qui pourrait laisser suspecter une telle lésion, ni une autre lésion quelconque, qui pourrait corroborer un traumatisme musculaire ». Le médecin-conseil F______ note également, dans son évaluation du dossier LAA du 26 juillet 2022, p. 3, qu’il veut bien « accepter une contusion simple du pied droit mais avec un statu quo à trois semaines (guérison habituelle). Mais le CT- scan du 27 novembre 2020 ne montre pas de fracture, ni de contusion osseuse et l’IRM probablement du 16 septembre 2021 ne montre pas de lésion ligamentaire, ni l’œdème habituel des algoneurodystrophies ». Compte tenu de l’absence de plaie et de dermabrasion, la chambre de céans considère qu’il est établi, au degré de la vraisemblance prépondérante, qu’il n’y a pas eu de choc entre le pied droit de l’assuré et l’arrête du trottoir ou le véhicule en marche. L’assuré s’est donc tordu la cheville.</w:t>
      </w:r>
    </w:p>
    <w:p>
      <w:r>
        <w:rPr>
          <w:b/>
        </w:rPr>
        <w:t>E. 9.2</w:t>
      </w:r>
    </w:p>
    <w:p>
      <w:r>
        <w:t>S’agissant du diagnostic d’algoneurodystrophie, également appelé syndrome douloureux régional complexe (ci-après : SDRC), les médecins-conseils considèrent que celui-ci disparaît dans les douze à vingt-quatre mois qui suivent l’événement. Or, dans le cas d’espèce, le Dr E______ considère qu’il est toujours présent au mois de juillet 2023, soit deux ans et demi après l’événement. Dans un article intitulé « Syndrome douloureux régional complexe : rôle du système nerveux central et implications pour la prise en charge » et paru dans la revue médicale suisse en date du 6 mai 2020, les auteurs mentionnent l’importance de poser un diagnostic selon les critères diagnostiques de Budapest.</w:t>
      </w:r>
    </w:p>
    <w:p>
      <w:r>
        <w:t>A/2603/2023 - 12/13 - Or, dans le cas présent, ni les médecins traitants, ni les médecins-conseils n’ont examiné les critères diagnostiques de Budapest pour retenir ou écarter l’existence d’un SDRC. Étant rappelé que pour la validation du diagnostic, il est communément fait référence aux critères dits « de Budapest », qui sont exclusivement cliniques et associent symptômes et signes dans quatre domaines : sensoriels, vasomoteurs, sudomoteurs/oedème, moteurs/trophiques (arrêt du Tribunal fédéral 8C_234/2023 du 12 décembre 2023 consid. 3.2 et la référence). Partant, il subsiste un faible doute sur la valeur probante des appréciations des médecins-conseils au vu du diagnostic de SDRC retenu par les médecins traitants de l’assuré et de l’apparente persistance des douleurs chez l’assuré.</w:t>
      </w:r>
    </w:p>
    <w:p>
      <w:r>
        <w:rPr>
          <w:b/>
        </w:rPr>
        <w:t>E. 9.3</w:t>
      </w:r>
    </w:p>
    <w:p>
      <w:r>
        <w:t>La chambre de céans n'est donc pas en mesure d'apprécier si le lien de causalité entre l'accident du 11 novembre 2020 et les troubles du recourant ont déployé des effets au-delà du 2 décembre 2020, étant rappelé que lorsqu'un cas n'a pas fait l'objet d'une expertise au sens de l'art. 44 LPGA, il y a lieu de poser des exigences sévères quant à l'appréciation des preuves ; des doutes même minimes sur la fiabilité et la validité des constatations d'un médecin de l'assurance doivent conduire à des investigations complémentaires (cf. consid. 7 ci-dessus). Compte tenu des conclusions contradictoires des médecins-conseils et des médecins traitants et du fait que l’éventualité d’un SDRC n’a pas été examinée conformément aux critères généralement admis, il se justifie, en conséquence, de poursuivre l'instruction du dossier et d'ordonner une expertise orthopédique du recourant, au sens de l'art. 44 LPGA. Contrairement à ce que requiert le recourant, la cause sera néanmoins renvoyée à l'intimée afin qu'elle mette en œuvre cette expertise, dans la mesure où il lui appartient, en premier lieu, d'instruire le cas avant de rendre sa décision.</w:t>
      </w:r>
    </w:p>
    <w:p>
      <w:r>
        <w:rPr>
          <w:b/>
        </w:rPr>
        <w:t>E. 10</w:t>
      </w:r>
    </w:p>
    <w:p>
      <w:r>
        <w:t>Au vu de ce qui précède, le recours sera partiellement admis et la décision sur opposition du 21 juin 2023 sera annulée. La cause sera renvoyée à l'intimée pour instruction complémentaire au sens des considérants, puis nouvelle décision.</w:t>
      </w:r>
    </w:p>
    <w:p>
      <w:r>
        <w:rPr>
          <w:b/>
        </w:rPr>
        <w:t>E. 11</w:t>
      </w:r>
    </w:p>
    <w:p>
      <w:r>
        <w:t>Le recourant obtenant partiellement gain de cause et étant assisté d’un avocat, une indemnité de CHF 2'000.- lui sera accordée à titre de participation à ses frais et dépens (art. 61 let. g LPGA ; art. 6 du règlement sur les frais, émoluments et indemnités en matière administrative du 30 juillet 1986 [RFPA - E 5 10.03]).</w:t>
      </w:r>
    </w:p>
    <w:p>
      <w:r>
        <w:rPr>
          <w:b/>
        </w:rPr>
        <w:t>E. 12</w:t>
      </w:r>
    </w:p>
    <w:p>
      <w:r>
        <w:t>Pour le surplus, la procédure est gratuite (art. 61 let. fbis LPGA a contrario).</w:t>
      </w:r>
    </w:p>
    <w:p>
      <w:r>
        <w:t>A/2603/2023 - 13/13 -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