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ATAS/344/2026 vom 24. April 2026</w:t>
      </w:r>
    </w:p>
    <w:p>
      <w:r>
        <w:t>GE Cour de justice, 2026-04-24, FR</w:t>
      </w:r>
    </w:p>
    <w:p>
      <w:r>
        <w:rPr>
          <w:b/>
        </w:rPr>
        <w:t xml:space="preserve">Quelle: </w:t>
      </w:r>
      <w:r>
        <w:t>https://mcp.opencaselaw.ch/entscheid/ge_gerichte_ATAS_344_2026</w:t>
      </w:r>
    </w:p>
    <w:p>
      <w:r>
        <w:t>FR: GE_GERICHTE ATAS/344/2026 du 24 avril 2026</w:t>
      </w:r>
    </w:p>
    <w:p>
      <w:r>
        <w:t>IT: GE_GERICHTE ATAS/344/2026 del 24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droit aux prestations complémentaires de la recourante à compter du 1er août 2025 et sur le bien-fondé de la demande de restitution de CHF 8’488.- pour la période du 1er août au 30 novembre 2025.</w:t>
      </w:r>
    </w:p>
    <w:p>
      <w:r>
        <w:rPr>
          <w:b/>
        </w:rPr>
        <w:t>E. 2.1</w:t>
      </w:r>
    </w:p>
    <w:p>
      <w:r>
        <w:t>Selon l'art. 25 LPGA, dans sa version applicable à compter du 1er janvier 2021,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En ce qui concerne plus particulièrement la révision, l’obligation de restituer les prestations indûment touchées et son étendue dans le temps ne sont pas liées à une violation de l’obligation de renseigner (ATF 122 V 134 consid. 2e). Il s’agit simplement de rétablir l’ordre légal, après la découverte du fait nouveau.</w:t>
      </w:r>
    </w:p>
    <w:p>
      <w:r>
        <w:t>A/387/2026 - 5/9 -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2.2</w:t>
      </w:r>
    </w:p>
    <w:p>
      <w:r>
        <w:t>En l'espèce, l’intimé a procédé à la révision procédurale (art. 53 al. 1 LPGA) de sa décision du 25 septembre 2025 après avoir eu connaissance d'un fait nouveau, à savoir l’arrivée en Suisse de l’époux de la recourante en avril 2025. L’intimé a respecté le délai relatif de 90 jours dès la découverte du motif de révision ainsi que les délais de prescription de l’art. 25 al. 2 LPGA, ce qui n’est pas contesté.</w:t>
      </w:r>
    </w:p>
    <w:p>
      <w:r>
        <w:rPr>
          <w:b/>
        </w:rPr>
        <w:t>E. 3</w:t>
      </w:r>
    </w:p>
    <w:p>
      <w:r>
        <w:t>Il convient donc d’examiner la conformité au droit du nouveau plan de calcul établi par l’intimé.</w:t>
      </w:r>
    </w:p>
    <w:p>
      <w:r>
        <w:rPr>
          <w:b/>
        </w:rPr>
        <w:t>E. 3.1</w:t>
      </w:r>
    </w:p>
    <w:p>
      <w:r>
        <w:t>En vertu de l’art. 4 al. 1 let. a LPC, les personnes qui ont leur domicile et leur résidence habituelle (art. 13 LPGA) en Suisse ont droit à des prestations complémentaires dès lors qu’elles perçoivent une rente de vieillesse de l’assurance-vieillesse et survivants (AVS). Le montant de la prestation complémentaire annuelle correspond à la part des dépenses reconnues qui excède les revenus déterminants (art. 9 al. 1 LPC). Les revenus déterminants au sens de l'art. 11 LPC comprennent notamment deux tiers des ressources en espèces ou en nature provenant de l’exercice d’une activité lucrative, pour autant qu’elles excèdent annuellement CHF 1'950.-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 les rentes, pensions et autres prestations périodiques, y compris les rentes de l'AVS et de l'assurance-invalidité ; et un dixième de la fortune nette pour les bénéficiaires de rentes de vieillesse, dans la mesure où elle dépasse CHF 50'000.- pour les couples et CHF 15'000.- pour les orphelins et les enfants donnant droit à des rentes pour enfant de l’AVS ou de l’AI (let. a, c et d). Au plan cantonal, l’art. 5 LPCC prévoit que le revenu déterminant est calculé conformément aux règles fixées dans la loi fédérale et ses dispositions</w:t>
      </w:r>
    </w:p>
    <w:p>
      <w:r>
        <w:t>A/387/2026 - 6/9 - d'exécution, moyennant notamment les adaptations suivantes : les prestations complémentaires fédérales sont ajoutées au revenu déterminant (let. a) ; la part de la fortune nette prise en compte dans le calcul du revenu déterminant est d’un cinquième pour les bénéficiaires de rentes de vieillesse, et ce après déduction des franchises prévues à l’art. 11 al. 1 let. c LPC (let. c).</w:t>
      </w:r>
    </w:p>
    <w:p>
      <w:r>
        <w:rPr>
          <w:b/>
        </w:rPr>
        <w:t>E. 3.2</w:t>
      </w:r>
    </w:p>
    <w:p>
      <w:r>
        <w:t>Aux termes de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revenus dessaisis au sens de cette disposition comprennent également le revenu hypothétique du conjoint d’un bénéficiaire de prestations complémentaires, dans la mesure où une activité ou l’augmentation du taux auquel elle est exercée est raisonnablement exigible. En effet, conformément à l'art. 163 du Code civil suisse (CC - RS 210), chaque époux doit contribuer selon ses moyens à l'entretien convenable de la famille. L'exercice d'une activité lucrative par l'époux est donc exigible lorsque des circonstances objectives empêchent l'autre époux d'exercer une activité lucrative et que celui-ci se trouve de ce fait dans une situation difficile (ATF 150 V 105 consid. 6.4.4 et les références). L’exigibilité d'une activité lucrative de la part du conjoint du bénéficiaire doit être analysée en fonction du cas concret en appliquant les principes du droit de la famille. Il y a donc lieu de tenir compte de l'âge, de l'état de santé, des connaissances linguistiques, de la formation, de l'activité exercée jusqu'alors, de la situation concrète du marché du travail et, le cas échéant, de la durée de l'absence de la vie professionnelle. En outre, lors de la détermination d'un revenu hypothétique, il convient de tenir compte du fait que la reprise et l’augmentation d'une activité lucrative nécessitent une certaine période d'adaptation et qu'après une longue absence de la vie professionnelle, une intégration complète sur le marché du travail n'est plus possible à un certain âge. Les prestations complémentaires tiennent compte de cette situation en accordant à la personne concernée, le cas échéant, un délai transitoire réaliste pour reprendre une activité lucrative ou augmenter son taux d'occupation avant de prendre en compte un revenu hypothétique. L’octroi d’un tel délai de transition ne se justifie cependant pas lorsque le bénéficiaire a droit à une rente AVS, dès lors qu’il s’agit là dès lors qu’il s’agit d’une circonstance prévisible offrant suffisamment de temps au conjoint pour se réinsérer professionnellement, et que celui-ci ne peut attendre le dernier moment pour entamer des recherches d’emploi (ATF 142 V 12 consid. 3.2 et 5.4 les références). En ce qui concerne le critère de l’âge, le Tribunal fédéral a notamment admis qu’il était exigible d’une femme de 48 ans qu’elle reprenne une activité lucrative (arrêt du Tribunal fédéral 9C_717/2010 du 26 janvier 2011 consid. 5.3).</w:t>
      </w:r>
    </w:p>
    <w:p>
      <w:r>
        <w:t>A/387/2026 - 7/9 - Selon le chiffre 3521.14 des directives concernant les prestations complémentaires à l’AVS et à l’AI (DPC) dans leur version au 1er janvier 2024, aucun revenu hypothétique n’est pris en compte notamment lorsque malgré tous ses efforts, le bénéficiaire de prestations complémentaires ou son conjoint ne trouve aucun emploi. Cette hypothèse est considérée comme réalisée lorsque la personne concernée est adressée à un office régional de placement (ORP), qu’elle peut justifier du nombre de candidatures demandé par cet office et que ces candidatures respectent les exigences de l’ORP. Pour fixer le revenu hypothétique, les organes des prestations complémentaires peuvent se référer aux statistiques de l’ESS (Directives DPC ch. 3521.07, cf. pour un cas d’application ATF 134 V 53 consid. 4.2).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w:t>
      </w:r>
    </w:p>
    <w:p>
      <w:r>
        <w:rPr>
          <w:b/>
        </w:rPr>
        <w:t>E. 3.3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3.4</w:t>
      </w:r>
    </w:p>
    <w:p>
      <w:r>
        <w:t>Dans la décision entreprise, l’intimé a considéré qu'il était exigible de l’époux de la recourante qu'il exerce une activité lucrative à temps complet à compter du 1er août 2025, de sorte qu'un revenu hypothétique annuel de CHF 62'777.80 devait être retenu à titre de revenu déterminant dès cette date. La recourante conteste la</w:t>
      </w:r>
    </w:p>
    <w:p>
      <w:r>
        <w:t>A/387/2026 - 8/9 - prise en compte de ce montant, en tant qu’il est basé sur l’ESS, faisant valoir qu’il ne reflète pas leur situation financière concrète. L’intéressée perd toutefois de vue que, de jurisprudence constante, les organes des prestations complémentaires peuvent se référer aux statistiques de l’ESS pour fixer le revenu hypothétique. Il apparaît d’ailleurs que l’intimé s’est fondé sur le tableau TA1, ligne « total », hommes, niveau 1 de l'ESS 2022, ce qui recouvre un large éventail d’activités variées et non qualifiées (branche d’activités), n’impliquant pas de formation particulière. Âgé de 35 ans au moment de son entrée en Suisse, l’intéressé était présumé employable et il ne ressortait pas des pièces produites par la recourante qu’il se trouvait dans l’un des cas de figure permettant de renoncer à la prise en compte d’un revenu hypothétique. Contrairement à ce que soutient la recourante, l’intimé n’a pris en compte un revenu hypothétique qu’à compter du mois d’août 2025 et non dès l’entrée en Suisse de son époux en avril 2025. Il a donc tenu compte d’un temps d’adaptation de quatre mois, ce qui apparaît suffisant. Cela vaut à plus forte raison que, comme l’a expliqué la recourante devant la chambre de céans, son époux a commencé à travailler dès le mois de juin 2025. S’agissant du montant retenu à titre de revenu hypothétique, soit CHF 62'777.80, et comme exposé ci-avant, il apparaît que le SPC s’est fondé sur le tableau TA1, ligne « total », hommes, niveau 1 de l'ESS 2022, qu'il a annualisé. Il a ensuite pris en compte 80% de ce revenu net conformément à l’art. 11 al. 1 let. a LPC. Un tel procédé n’est pas critiquable. Ce montant est, au demeurant, légèrement inférieur au salaire effectivement perçu par l’intéressé durant la période litigieuse (1er août au 30 novembre 2025). Il ressort en effet des pièces produites par la recourante devant la chambre de céans que son époux a perçu des salaires nets de CHF 4'754.85 en août 2025, CHF 7'666.35 en septembre 2025, CHF 5'354.45 en octobre 2025 et CHF 4'580.85 en novembre 2025, soit une moyenne annuelle de CHF 67'069.50. C’est partant à juste titre que l’intimé a retenu que la différence entre les revenus et les dépenses du couple ne donnait pas lieu à des prestations mensuelles hors réductions individuelles des primes mensuelles à compter du 1er août 2025 et qu’il a réclamé la restitution des prestations indûment perçues pour la période du 1er août au 30 novembre 2025. En tant que la recourante se prévaut de sa situation financière difficile, la chambre de céans rappelle qu’il lui est loisible, le cas échéant, de solliciter la remise de l’obligation de restituer.</w:t>
      </w:r>
    </w:p>
    <w:p>
      <w:r>
        <w:rPr>
          <w:b/>
        </w:rPr>
        <w:t>E. 3.5</w:t>
      </w:r>
    </w:p>
    <w:p>
      <w:r>
        <w:t>Les considérants qui précèdent conduisent au rejet du recours. La procédure est gratuite.</w:t>
      </w:r>
    </w:p>
    <w:p>
      <w:r>
        <w:t>A/387/2026 - 9/9 -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