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ATAS/344/2021 vom 19. April 2021</w:t>
      </w:r>
    </w:p>
    <w:p>
      <w:r>
        <w:t>GE Cour de justice, 2021-04-19, FR</w:t>
      </w:r>
    </w:p>
    <w:p>
      <w:r>
        <w:rPr>
          <w:b/>
        </w:rPr>
        <w:t xml:space="preserve">Quelle: </w:t>
      </w:r>
      <w:r>
        <w:t>https://mcp.opencaselaw.ch/entscheid/ge_gerichte_ATAS_344_2021</w:t>
      </w:r>
    </w:p>
    <w:p>
      <w:r>
        <w:t>FR: GE_GERICHTE ATAS/344/2021 du 19 avril 2021</w:t>
      </w:r>
    </w:p>
    <w:p>
      <w:r>
        <w:t>IT: GE_GERICHTE ATAS/344/2021 del 19 aprile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b. Partant, le recours pour déni de justice, interjeté par-devant l’autorité compétente (art. 58 al. 1 LPGA), est recevable.</w:t>
      </w:r>
    </w:p>
    <w:p>
      <w:r>
        <w:rPr>
          <w:b/>
        </w:rPr>
        <w:t>E. 3</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w:t>
      </w:r>
    </w:p>
    <w:p>
      <w:r>
        <w:t>A/3535/2019 - 10/18 -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À titre d’exemple, la chambre de céans a nié l’existence d’un déni de justice dans un cas où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w:t>
      </w:r>
    </w:p>
    <w:p>
      <w:r>
        <w:rPr>
          <w:b/>
        </w:rPr>
        <w:t>E. 4</w:t>
      </w:r>
    </w:p>
    <w:p>
      <w:r>
        <w:t>a. En l’espèce, la chambre de céans constate qu’il ne s’est écoulé que quatre mois et demi entre le recours pour déni de justice du 23 septembre 2019 et la demande du recourant du 6 mai 2019 tendant à la restitution de l’effet suspensif à son opposition contre la décision du 4 avril 2019, par laquelle l’intimée a requis la restitution des rentes complémentaires versées pour C______ durant les mois de mars à juin 2018, correspondant à un montant de CHF 3'760.- (A/3535/2019).</w:t>
      </w:r>
    </w:p>
    <w:p>
      <w:r>
        <w:t>A/3535/2019 - 11/18 - Un tel délai ne constitue pas un retard injustifié, même si la nature de l'affaire aurait permis à l’intimée de statuer rapidement. En outre, il y a lieu de garder à l’esprit que l’intimée avait déjà rendu une première décision sur opposition le 10 avril 2019 portant sur le droit du recourant à la rente complémentaire pour C______ durant le mois de juillet 2018 et qu’une procédure était pendante par-devant la chambre de céans suite au recours de l’intéressé du 2 mai 2019 (A/1670/2019). L’intimée a clairement exposé, dans sa réponse du 3 juillet 2019, que l’examen de l’opposition à la décision du 4 avril 2019 était en suspens dans l’attente de l’issue de la procédure A/1670/2019, dès lors que les deux causes étaient intimement liées. Le recourant savait donc que l’intimée n’entendait pas se prononcer jusqu’à droit jugé dans la procédure parallèle. S’il souhaitait tout de même obtenir une décision sur opposition concernant sa demande de restitution de l’effet suspensif, il aurait dû interpeller l’intimée et lui demander de statuer sur cette question. b. Par conséquent, le recours pour déni de justice (A/3535/2019) est rejeté.</w:t>
      </w:r>
    </w:p>
    <w:p>
      <w:r>
        <w:rPr>
          <w:b/>
        </w:rPr>
        <w:t>E. 5</w:t>
      </w:r>
    </w:p>
    <w:p>
      <w:r>
        <w:t>S’agissant de la cause A/1670/2019, le recours du 2 mai 2019 contre la décision sur opposition du 10 avril 2019, interjeté dans les forme et délai prévus par la loi (art. 56 LPGA ; art. 62 al. 1 LPA), est également recevable.</w:t>
      </w:r>
    </w:p>
    <w:p>
      <w:r>
        <w:rPr>
          <w:b/>
        </w:rPr>
        <w:t>E. 6</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t>A/3535/2019 - 12/18 - b. Le litige (A/1670/2019) porte sur le bien-fondé de la décision sur opposition du</w:t>
      </w:r>
    </w:p>
    <w:p>
      <w:r>
        <w:rPr>
          <w:b/>
        </w:rPr>
        <w:t>E. 10</w:t>
      </w:r>
    </w:p>
    <w:p>
      <w:r>
        <w:t>En l’espèce, il ressort des pièces produites par le recourant que son fils C______ a été inscrit durant l’année académique 2017-2018 à l’IBS de Moscou, où il a suivi à plein temps le programme « Master in Management » (cf. « transcript of academic records » du 18 juillet 2018). Cette formation répond à un plan structuré, comme attesté par l’attribution de crédits, la rédaction d’un travail de Master, la soutenance de thèse ou encore la délivrance d’un diplôme universitaire.</w:t>
      </w:r>
    </w:p>
    <w:p>
      <w:r>
        <w:t>A/3535/2019 - 16/18 - C______ a obtenu 30 crédits ECTS durant le premier semestre, 32 crédits ECTS durant le second, et 30 crédits ECTS pour son travail « Master Thesis » (cf. « transcript of academic records » du 18 juillet 2018 et « diploma supplement » de l’IBS du 15 février 2019), soit un total de 92 crédits ETCS, ce qui lui a permis d’obtenir le titre de Master. Il n’est donc pas contestable qu’il a consacré tout son temps à sa formation durant le deuxième semestre puisqu’il a obtenu 32 crédits ECTS durant cette période, soit plus de la moitié des 60 crédits qui équivalent à une année entière d’études. Il n’est pas plus contestable qu’il a continué à se vouer entièrement à sa formation, sans interruption, jusqu’à l’obtention du « Master » puisque 30 crédits lui ont été reconnus pour la rédaction de son travail de thèse et la soutenance orale. À cet égard, on relèvera que le travail de Master de C______ est daté du 30 septembre 2018, ce qui permet de retenir qu’il a effectivement défendu sa thèse oralement au mois d’octobre 2018, comme allégué par le recourant. Dès lors qu’un crédit ECTS correspond à 25-30 heures de travail, les 30 crédits représentent un minimum de 750 heures réparties entre les mois de juillet à octobre 2018, soit une moyenne de 187,5 heures par mois ou un peu plus de 46 heures par semaine.</w:t>
      </w:r>
    </w:p>
    <w:p>
      <w:r>
        <w:rPr>
          <w:b/>
        </w:rPr>
        <w:t>E. 11</w:t>
      </w:r>
    </w:p>
    <w:p>
      <w:r>
        <w:t>Partant, la chambre de céans tiendra pour établi, au degré de la vraisemblance prépondérante, que C______ a consacré la majeure partie de son temps à une formation régulière, du mois de mars 2018 au mois d’octobre 2018, de sorte que le recourant a droit à une rente complémentaire pour son fils durant cette période.</w:t>
      </w:r>
    </w:p>
    <w:p>
      <w:r>
        <w:rPr>
          <w:b/>
        </w:rPr>
        <w:t>E. 12</w:t>
      </w:r>
    </w:p>
    <w:p>
      <w:r>
        <w:t>Compte tenu de ce qui précède, la décision sur opposition du 10 avril 2019, mal fondée, doit être annulée.</w:t>
      </w:r>
    </w:p>
    <w:p>
      <w:r>
        <w:rPr>
          <w:b/>
        </w:rPr>
        <w:t>E. 13</w:t>
      </w:r>
    </w:p>
    <w:p>
      <w:r>
        <w:t>a. Le recourant n’a pas droit à des dépens s’il n’est pas assisté d’un avocat ou d’un mandataire professionnellement qualifié (cf. art. 61 let. g LPGA ; art. 6 du règlement sur les frais, émoluments et indemnités en matière administrative du 30 juillet 1986 [RFPA - E 5 10.03]). D'après la jurisprudence, si la partie qui obtient gain de cause n'est pas représentée en procédure par un avocat ou une autre personne qualifiée, elle n'a qu'exceptionnellement droit à des dépens. Il faut admettre l'existence d'une telle situation exceptionnelle lorsqu’il s’agit, d’une part, d’une affaire complexe portant sur un objet litigieux élevé et nécessitant beaucoup de temps, dans une mesure dépassant ce qu'un particulier peut ordinairement et raisonnablement prendre sur lui pour la défense de ses intérêts, d’autre part, qu’il y ait un rapport proportionné entre le temps consacré et le résultat de la défense des intérêts en cause (ATF 110 V 134 consid. 7 ; RCC 1984 p. 278 ; voir également ATF 133 III 439 consid. 4 ; ATF 115 Ia 12 consid. 5). Cette jurisprudence a été rendue à propos du droit aux dépens de la partie à une procédure de recours devant le Tribunal fédéral, mais il n'y a pas de motif de s'en écarter dans le contexte du droit aux dépens prévu par l'art. 61 let. g LPGA (arrêt du Tribunal fédéral du 22 octobre 2008 consid 6.1).</w:t>
      </w:r>
    </w:p>
    <w:p>
      <w:r>
        <w:t>A/3535/2019 - 17/18 - b. En l'occurrence, ces conditions ne sont pas remplies. En effet, le temps que le recourant a consacré à la défense de ses droits ne présente pas un caractère extraordinaire, qui justifierait de lui allouer exceptionnellement des dépens malgré l'absence de représentation par un mandataire professionnel.</w:t>
      </w:r>
    </w:p>
    <w:p>
      <w:r>
        <w:rPr>
          <w:b/>
        </w:rPr>
        <w:t>E. 14</w:t>
      </w:r>
    </w:p>
    <w:p>
      <w:r>
        <w:t>Pour le surplus, la procédure est gratuite (art. 61 let. a LPGA, dans sa teneur jusqu'au 31 décembre 2020, applicable selon l'art. 83 LPGA).</w:t>
      </w:r>
    </w:p>
    <w:p>
      <w:r>
        <w:t>A/3535/2019 - 18/18 -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