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ATAS/344/2013 vom 11. April 2013</w:t>
      </w:r>
    </w:p>
    <w:p>
      <w:r>
        <w:t>GE Cour de justice, 2013-04-11, FR</w:t>
      </w:r>
    </w:p>
    <w:p>
      <w:r>
        <w:rPr>
          <w:b/>
        </w:rPr>
        <w:t xml:space="preserve">Quelle: </w:t>
      </w:r>
      <w:r>
        <w:t>https://mcp.opencaselaw.ch/entscheid/ge_gerichte_ATAS_344_2013</w:t>
      </w:r>
    </w:p>
    <w:p>
      <w:r>
        <w:t>FR: GE_GERICHTE ATAS/344/2013 du 11 avril 2013</w:t>
      </w:r>
    </w:p>
    <w:p>
      <w:r>
        <w:t>IT: GE_GERICHTE ATAS/344/2013 del 11 aprile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w:t>
      </w:r>
    </w:p>
    <w:p>
      <w:r>
        <w:t>A/3596/2012 5/6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11 juillet 1997, date du mariage, d’autre part le 9 novembre 2012, date à laquelle le jugement de divorce est devenu exécutoire.</w:t>
      </w:r>
    </w:p>
    <w:p>
      <w:r>
        <w:rPr>
          <w:b/>
        </w:rPr>
        <w:t>E. 4</w:t>
      </w:r>
    </w:p>
    <w:p>
      <w:r>
        <w:t>Selon les documents produits, la prestation acquise pendant le mariage par le demandeur s'élève à 105'678 fr. 65 (1’750.20 + 119'842 - 15'913.55) tandis que celle acquise par la demanderesse atteint la somme de 12'051 fr. 55 (12'154.30 - 102.75), les intérêts ayant déjà été calculés par les institutions de prévoyance défenderesses. Ainsi le demandeur doit à son ex-épouse le montant de 52'839 fr. 35 (105'678.65 : 2) alors qu'elle lui doit celui de 6'025 fr. 80 (12'051.55 : 2), de sorte que c’est en définitive le demandeur qui doit à son ex-épouse le montant de 46'813 fr. 55 (52'839 fr. 35 - 6'025.80).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A/3596/2012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