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ATAS/343/2022 vom 14. April 2022</w:t>
      </w:r>
    </w:p>
    <w:p>
      <w:r>
        <w:t>GE Cour de justice, 2022-04-14, FR</w:t>
      </w:r>
    </w:p>
    <w:p>
      <w:r>
        <w:rPr>
          <w:b/>
        </w:rPr>
        <w:t xml:space="preserve">Quelle: </w:t>
      </w:r>
      <w:r>
        <w:t>https://mcp.opencaselaw.ch/entscheid/ge_gerichte_ATAS_343_2022</w:t>
      </w:r>
    </w:p>
    <w:p>
      <w:r>
        <w:t>FR: GE_GERICHTE ATAS/343/2022 du 14 avril 2022</w:t>
      </w:r>
    </w:p>
    <w:p>
      <w:r>
        <w:t>IT: GE_GERICHTE ATAS/343/2022 del 14 aprile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formes et les délais légaux, le recours est recevable (art. 56 al. 1, 60 et 61 let. b LPGA ; art. 43 LPCC).</w:t>
      </w:r>
    </w:p>
    <w:p>
      <w:r>
        <w:rPr>
          <w:b/>
        </w:rPr>
        <w:t>E. 3</w:t>
      </w:r>
    </w:p>
    <w:p>
      <w:r>
        <w:t>Le litige porte sur le bien-fondé de la décision sur opposition du SPC visant au remboursement, par la recourante, d’un montant de CHF 12'424.-, versé du chef des prestations complémentaires familiales.</w:t>
      </w:r>
    </w:p>
    <w:p>
      <w:r>
        <w:rPr>
          <w:b/>
        </w:rPr>
        <w:t>E. 4.1</w:t>
      </w:r>
    </w:p>
    <w:p>
      <w:r>
        <w:t>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w:t>
      </w:r>
    </w:p>
    <w:p>
      <w:r>
        <w:rPr>
          <w:b/>
        </w:rPr>
        <w:t>E. 4.2</w:t>
      </w:r>
    </w:p>
    <w:p>
      <w:r>
        <w:t>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w:t>
      </w:r>
    </w:p>
    <w:p>
      <w:r>
        <w:t>A/2778/2021 - 5/12 -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4.3</w:t>
      </w:r>
    </w:p>
    <w:p>
      <w:r>
        <w:t>Selon l'art. 3 al. 1 OPGA, l'étendue de l'obligation de restituer est fixée par une décision.</w:t>
      </w:r>
    </w:p>
    <w:p>
      <w:r>
        <w:rPr>
          <w:b/>
        </w:rPr>
        <w:t>E. 4.4</w:t>
      </w:r>
    </w:p>
    <w:p>
      <w:r>
        <w:t>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4.5</w:t>
      </w:r>
    </w:p>
    <w:p>
      <w:r>
        <w:t>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 maladie [art. 33 al. 1 et 2 de la loi d'application de la loi fédérale sur l'assurance- maladie du 29 mai 1997 (LaLAMal - J 3 05)].</w:t>
      </w:r>
    </w:p>
    <w:p>
      <w:r>
        <w:rPr>
          <w:b/>
        </w:rPr>
        <w:t>E. 4.6</w:t>
      </w:r>
    </w:p>
    <w:p>
      <w:r>
        <w:t>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4.7</w:t>
      </w:r>
    </w:p>
    <w:p>
      <w:r>
        <w:t>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w:t>
      </w:r>
    </w:p>
    <w:p>
      <w:r>
        <w:t>A/2778/2021 - 6/12 -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w:t>
      </w:r>
    </w:p>
    <w:p>
      <w:r>
        <w:rPr>
          <w:b/>
        </w:rPr>
        <w:t>E. 5</w:t>
      </w:r>
    </w:p>
    <w:p>
      <w:r>
        <w:t>A titre préalable, il convient d’examiner si la demande de restitution des PCFam n’est pas prescrite.</w:t>
      </w:r>
    </w:p>
    <w:p>
      <w:r>
        <w:rPr>
          <w:b/>
        </w:rPr>
        <w:t>E. 5.1</w:t>
      </w:r>
    </w:p>
    <w:p>
      <w:r>
        <w:t>La période visée par la demande de restitution commence à courir depuis le 1er janvier 2018, date retenue par le SPC en raison de la modification des revenus de la recourante. On peut donc, d’emblée, en conclure que le délai absolu de cinq ans n’est pas atteint. S’agissant du délai relatif d’une année, les documents fournis par le SPC démontrent que ce dernier a adressé, en date du 17 septembre 2020, une demande de renseignements portant sur plusieurs documents nécessaires au traitement du dossier. Ce courrier a été suivi d’un rappel daté du 19 octobre 2020, fixant un ultime délai à l’intéressée pour communiquer les documents demandés, au plus tard le 16 novembre 2020. C’est après réception des documents complémentaires que le SPC a rendu sa décision de restitution du 30 octobre 2020.</w:t>
      </w:r>
    </w:p>
    <w:p>
      <w:r>
        <w:rPr>
          <w:b/>
        </w:rPr>
        <w:t>E. 5.2</w:t>
      </w:r>
    </w:p>
    <w:p>
      <w:r>
        <w:t>Compte tenu de ce qui précède, le SPC ne pouvait pas disposer, avant le mois d’octobre 2020, de tous les éléments qui étaient décisifs dans le cas concret et dont la connaissance fondait - quant à son principe et à son étendue - la créance en restitution à l'encontre de l’intéressée. Conséquemment, le délai relatif d’un an n’a pas été dépassé et la demande de restitution du SPC n’est pas prescrite.</w:t>
      </w:r>
    </w:p>
    <w:p>
      <w:r>
        <w:rPr>
          <w:b/>
        </w:rPr>
        <w:t>E. 6</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ainsi que la loi fédérale sur la partie générale du droit des assurances sociales du 6 octobre 2000 (LPGA - RS 830).</w:t>
      </w:r>
    </w:p>
    <w:p>
      <w:r>
        <w:rPr>
          <w:b/>
        </w:rPr>
        <w:t>E. 7.1</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w:t>
      </w:r>
    </w:p>
    <w:p>
      <w:r>
        <w:t>A/2778/2021 - 7/12 - bénéficiaires pouvant prétendre le cas échéant au versement de PCC (art. 1 al. 1 et 2 à 36 LPCC) - et d'autre part, les familles avec enfant(s) - bénéficiaires pouvant le cas échéant prétendre au versement de PCFam (art. 1 al. 2, 36A à 36I LPCC ; ATAS/1195/2020 du 3 décembre 2020 consid. 5b – que la recourante a déclaré, lors de l'audience au fond, ne pas avoir lu –;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7.2</w:t>
      </w:r>
    </w:p>
    <w:p>
      <w:r>
        <w:t>Selon l'art. 36A al. 1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Pour bénéficier des prestations, le taux de l'activité lucrative mentionnée à l'art. 36A al. 1 let. c LPCC, doit être, par année, au minimum de 90 % lorsque le groupe familial comprend deux personnes adultes (art. 36A al. 4 let. b LPCC). Aux termes de l'art. 36B LPCC, le revenu minimum cantonal d'aide sociale garanti aux familles, destiné à la couverture des besoins vitaux, est basé sur le montant fixé à l'art. 3 al. 1 LPCC (al. 1). Ce montant est multiplié, selon le nombre de personnes comprises dans le groupe familial, par le coefficient prévu par la législation sur l'aide sociale individuelle et fixé par règlement du Conseil d'État (al. 2). En vertu de l'art. 36C LPCC – intitulé "exclusion du cumul et concours de droits", le droit à des PCF, au sens de la LPC, ou à des PCC, au sens du titre II de la LPCC, ainsi que la renonciation à un tel droit, excluent le droit à des PCFam (al. 1). Sous réserve des situations prévues à l'al. 4, un seul et même enfant ne peut donner droit aux prestations que pour un seul groupe familial (al. 2). 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Conformément à l'art. 36F LPCC, les dépenses reconnues sont celles énumérées par l'art. 10 LPC et ses dispositions d'exécution, à l'exclusion des montants</w:t>
      </w:r>
    </w:p>
    <w:p>
      <w:r>
        <w:t>A/2778/2021 - 8/12 - suivants : le montant destiné à la couverture des besoins vitaux est remplacé par le montant destiné à garantir le revenu minimum cantonal d'aide sociale défini à l'art. 36B LPCC (let. a) ; le loyer ainsi que les charges sont fixés par règlement du Conseil d'Etat (let. b).</w:t>
      </w:r>
    </w:p>
    <w:p>
      <w:r>
        <w:rPr>
          <w:b/>
        </w:rPr>
        <w:t>E. 7.3</w:t>
      </w:r>
    </w:p>
    <w:p>
      <w:r>
        <w:t>En vertu de l'art. 36E LPCC, le revenu déterminant est calculé conformément à l'art. 11 LPC, moyennant les adaptations suivantes : a) les ressources en espèces ou en nature provenant de l'exercice d'une activité lucrative sont intégralement prises en compte; b) le revenu déterminant est augmenté d'un cinquième de la fortune calculée en application de l'art. 7 de la présente loi; c) les bourses d'études et autres aides financières destinées à l'instruction sont prises en compte; d) les ressources de l'enfant ou de l'orphelin à charge provenant de l'exercice d'une activité lucrative régulière sont prises en compte à raison de 50% (al. 1).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LPCC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L'art. 18 du règlement relatif aux prestations complémentaires familiales du 27 juin 2012 (RPCFam - J 4 25.04), au titre "gain hypothétique des personnes considérées comme exerçant une activité lucrative salariée", précise que le gain hypothétique des personnes considérées comme exerçant une activité lucrative est déterminé selon le gain et le taux d'activité réalisés avant la perception des indemnités pour perte de gain définies aux art. 36A al. 5 LPCC et 10 al. 1 du présent règlement (al. 1). Si le taux d'activité réalisé avant la perception des indemnités pour perte de gain n'atteint pas les taux fixés à l'art. 36A al. 4 LPCC,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w:t>
      </w:r>
    </w:p>
    <w:p>
      <w:r>
        <w:t>A/2778/2021 - 9/12 -</w:t>
      </w:r>
    </w:p>
    <w:p>
      <w:r>
        <w:rPr>
          <w:b/>
        </w:rPr>
        <w:t>E. 8</w:t>
      </w:r>
    </w:p>
    <w:p>
      <w:r>
        <w:t>Les revenus hypothétiques provenant d'une activité lucrative au sens de l'art. 11 let. g aLPC ou fixés schématiquement aux art. 14a et 14b de l'ordonnance sur les prestations complémentaires à l'assurance-vieillesse, survivants et invalidité du 15 janvier 1971 (OPC-AVS/AI - RS 831.301)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141 V 343 consid. 33.3 ; ATF 140 V 267 consid. 2.2 ; ATF 117 V 153 consid. 2c).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citées). Le Tribunal fédéral a rappelé que l'impossibilité de mettre en valeur une capacité de travail résiduelle ne peut être admise que si elle est démontrée au degré de la vraisemblance prépondérante, l'assuré devant collaborer à l'instruction de cet élément. La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Suivant les circonstances, un temps d'adaptation approprié et réaliste doit être accordé à l'intéressé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A/2778/2021 - 10/12 - assurances sociales, un principe selon lequel l’administration ou le juge devrait statuer, dans le doute, en faveur de l’assuré (ATF 126 V 319 consid. 5a).</w:t>
      </w:r>
    </w:p>
    <w:p>
      <w:r>
        <w:rPr>
          <w:b/>
        </w:rPr>
        <w:t>E. 10</w:t>
      </w:r>
    </w:p>
    <w:p>
      <w:r>
        <w:t>En l'espèce, la recourante ne conteste, ni le montant des prestations versées pendant la période visée par le SPC, ni les calculs effectués par ledit service, ni la quotité du montant dont la restitution est demandée. Elle explique que, pour des raisons financières, elle n’est pas en mesure de rembourser le montant qui lui est réclamé et s’étonne de ce qu’elle qualifie de la « sommation » de rembourser ledit montant, alors que le recouvrement de la créance avait été suspendu par le SPC, pendant une durée de deux ans. Ce faisant, la recourante n’invoque pas une erreur dans les faits ou dans l’application du droit pouvant conduire à l’annulation de la décision querellée, mais demande la prise en compte de sa situation financière difficile, en raison de la perte de son emploi de patrouilleuse scolaire et du fait que son mari est actuellement au chômage. Invitée à préciser le sens de son recours, la recourante, qui agit en personne, n’a pas clairement pris position. Dès lors, la chambre de céans examinera d’office si les conditions de la restitution sont remplies. Selon l'art. 25 al. 1 LPGA, les prestations indûment touchées doivent être restituées. La restitution ne peut être exigée lorsque l'intéressé était de bonne foi et qu'elle le mettrait dans une situation difficile. Il faut cependant rappeler que la restitution et la remise de l'obligation de restituer et son étendue font l'objet de deux procédures distinctes (arrêts du Tribunal fédéral P 63/06 du 14 mars 2003 consid. 3 et C 264/05 du 25 janvier 2006 consid. 2.1) et que, dès lors, l'autorité ne peut statuer sur une demande de remise qu'une fois la décision en restitution entrée en force. La demande de remise de l’obligation de restituer est donc prématurée et ne peut pas être examinée dans le cadre de la présente espèce. S’agissant de la validité de la décision de restitution du SPC, confirmée dans la décision sur opposition querellée du 29 juillet 2021, aucun élément ne permet de mettre en doute le calcul effectué par le SPC. Celui-ci a tenu compte des indemnités chômage versées à la recourante, puis de son gain en tant que patrouilleuse scolaire et enfin de la baisse du revenu déterminant, dès le mois d’avril 2020. La recourante ne le conteste d’ailleurs pas, mais invoque n’être pas en mesure de rembourser le montant réclamé. Dès lors, la décision de restitution, dans son principe, ne prête pas le flanc à la critique. À teneur des termes de la décision et des explications données par la recourante, cette dernière semble, prima facie, remplir les conditions de la bonne foi, aucun élément ne laissant supposer qu’elle aurait dissimulé des informations pertinentes dans le calcul des prestations. Ce point, ainsi que la situation financière de la</w:t>
      </w:r>
    </w:p>
    <w:p>
      <w:r>
        <w:t>A/2778/2021 - 11/12 - recourante, devront être examinés par le SPC, dès après que la présente décision sera entrée en force, aux conditions fixées par l’art. 4 OPGA, concernant la demande de remise de l’obligation de rembourser.</w:t>
      </w:r>
    </w:p>
    <w:p>
      <w:r>
        <w:rPr>
          <w:b/>
        </w:rPr>
        <w:t>E. 11</w:t>
      </w:r>
    </w:p>
    <w:p>
      <w:r>
        <w:t>Compte tenu de ce qui précède, la chambre de céans ne peut que rejeter le recours et inviter la recourante à demander la remise de l’obligation de rembourser le montant de CHF 12’424.-, dans le délai de 30 jours après l’entrée en force du présent arrêt.</w:t>
      </w:r>
    </w:p>
    <w:p>
      <w:r>
        <w:rPr>
          <w:b/>
        </w:rPr>
        <w:t>E. 12</w:t>
      </w:r>
    </w:p>
    <w:p>
      <w:r>
        <w:t>Pour le surplus, en l’absence de loi spéciale prévoyant des frais judiciaires, la procédure est gratuite (art. 61 let. fbis LPGA).</w:t>
      </w:r>
    </w:p>
    <w:p>
      <w:r>
        <w:t>A/2778/2021 - 12/12 -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