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ATAS/343/2020 vom 4. Mai 2020</w:t>
      </w:r>
    </w:p>
    <w:p>
      <w:r>
        <w:t>GE Cour de justice, 2020-05-04, FR</w:t>
      </w:r>
    </w:p>
    <w:p>
      <w:r>
        <w:rPr>
          <w:b/>
        </w:rPr>
        <w:t xml:space="preserve">Quelle: </w:t>
      </w:r>
      <w:r>
        <w:t>https://mcp.opencaselaw.ch/entscheid/ge_gerichte_ATAS_343_2020</w:t>
      </w:r>
    </w:p>
    <w:p>
      <w:r>
        <w:t>FR: GE_GERICHTE ATAS/343/2020 du 4 mai 2020</w:t>
      </w:r>
    </w:p>
    <w:p>
      <w:r>
        <w:t>IT: GE_GERICHTE ATAS/343/2020 del 4 maggio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En ce qui concerne la recevabilité du recours, la chambre de céans relève ce qui suit.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(LPA – E 5 10),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b. Les décisions peuvent être attaquées dans les trente jours par voie d'opposition auprès de l'assureur qui les a rendues (art. 52 al. 1 LPGA) et les décisions sur</w:t>
      </w:r>
    </w:p>
    <w:p>
      <w:r>
        <w:t>A/4247/2019 - 5/7 -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c.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w:t>
      </w:r>
    </w:p>
    <w:p>
      <w:r>
        <w:rPr>
          <w:b/>
        </w:rPr>
        <w:t>E. 3</w:t>
      </w:r>
    </w:p>
    <w:p>
      <w:r>
        <w:t>En l’espèce, force est de constater que le courrier de l’intimée du 21 novembre 2019 ne constitue pas une décision au sens formel. Au plan matériel, il ne peut pas plus être considéré comme une décision dès lors que l’intimée s’est contentée d’y donner certaines explications au recourant, sans nouvellement statuer sur l’existence de droits ou d’obligations. Faute de décision, le recours est irrecevable. La cause sera ainsi transmise à l’intimée, à charge pour cette dernière de rendre une décision formelle sujette à opposition, puis recours, pour autant que les circonstances l’exigent. En effet, comme l’a souligné l’intimée, le recourant a multiplié les procédures à l’encontre de l’intimée devant la chambre de céans, laquelle a ainsi statué sur le bien-fondé de nombreuses créances réclamées par l’intimée au recourant. Certains de ces arrêts ont été déférés par le recourant au Tribunal fédéral, qui a pour l’essentiel rejeté les recours ou les a déclarés irrecevables. Il est également possible que l’intimée ait statué sur plusieurs des créances dans des décisions qui sont entrées en force, faute d’avoir été attaquées par un recours, et qui bénéficient ainsi de la force de chose décidée, ce qui interdit de rendre une nouvelle décision sur le même objet. Quant aux prétentions de l’intimée tranchées par des jugements, elles revêtent l’autorité de chose jugée. Il y a chose jugée lorsque la prétention litigieuse</w:t>
      </w:r>
    </w:p>
    <w:p>
      <w:r>
        <w:t>A/4247/2019 - 6/7 - a déjà fait l'objet d'une décision passée en force. C'est le cas lorsque, dans l'un et l'autre procès, les parties ont soumis au juge la même prétention en se fondant sur les mêmes faits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w:t>
      </w:r>
    </w:p>
    <w:p>
      <w:r>
        <w:rPr>
          <w:b/>
        </w:rPr>
        <w:t>E. 4</w:t>
      </w:r>
    </w:p>
    <w:p>
      <w:r>
        <w:t>Le recours est irrecevable. Pour le surplus, la procédure est gratuite (art. 61 let. g LPGA).</w:t>
      </w:r>
    </w:p>
    <w:p>
      <w:r>
        <w:t>A/4247/2019 - 7/7 -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