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ATAS/343/2015 vom 7. Mai 2015</w:t>
      </w:r>
    </w:p>
    <w:p>
      <w:r>
        <w:t>GE Cour de justice, 2015-05-07, FR</w:t>
      </w:r>
    </w:p>
    <w:p>
      <w:r>
        <w:rPr>
          <w:b/>
        </w:rPr>
        <w:t xml:space="preserve">Quelle: </w:t>
      </w:r>
      <w:r>
        <w:t>https://mcp.opencaselaw.ch/entscheid/ge_gerichte_ATAS_343_2015</w:t>
      </w:r>
    </w:p>
    <w:p>
      <w:r>
        <w:t>FR: GE_GERICHTE ATAS/343/2015 du 7 mai 2015</w:t>
      </w:r>
    </w:p>
    <w:p>
      <w:r>
        <w:t>IT: GE_GERICHTE ATAS/343/2015 del 7 maggio 2015</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4</w:t>
      </w:r>
    </w:p>
    <w:p>
      <w:r>
        <w:t>Le litige porte sur le bien-fondé de la décision de restitution du SPC, plus particulièrement sur le montant et le calcul des prestations complémentaires, en particulier sur la somme retenue à titre de revenu et les montants que le recourant entend voir déduits à titre de dépenses.</w:t>
      </w:r>
    </w:p>
    <w:p>
      <w:r>
        <w:t>A/2578/2014 - 4/6 -</w:t>
      </w:r>
    </w:p>
    <w:p>
      <w:r>
        <w:rPr>
          <w:b/>
        </w:rPr>
        <w:t>E. 5</w:t>
      </w:r>
    </w:p>
    <w:p>
      <w:r>
        <w:t>a)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Ceux-ci comprennent notamment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(art. 11 al. 1 let. a LPC). Quant aux dépenses reconnues, elles font l’objet d’une énumération exhaustive à l’art. 10 LPC (arrêt 9C_822/2009 du 7 mai 2010 consid. 3.3 et la référence, in SVR 2011 EL n° 2 p. 5). Pour les personnes ne vivant pas en permanence ou pour une longue période dans un home ou un hôpital, le montant forfaitaire destiné à la couverture des besoins vitaux inclut notamment les frais de nourriture, d'habillement, de soins corporels, de consommation d'énergie (électricité, gaz, etc.), de communication, de transport ou de loisirs (CARIGIET/KOCH, Ergänzungsleistungen zur AHV/IV, 2ème éd. 2009, p. 134; RALPH JÖHL, Ergänzungsleistungen zur AHV/IV, in Schweizerisches Bundesverwaltungsrecht [SBVR] vol. XIV, Soziale Sicherheit, 2ème éd. 2007, p. 1694 n. 86). Ainsi, pour les personnes vivant à domicile, les dépenses reconnues comprennent: - les montants destinés à la couverture des besoins vitaux (art. 10 al. 1 let. a LPC) ; - le loyer d’un appartement et les frais accessoires y relatifs (art. 10 al. 1 let. b LPC). Sont en outre reconnus comme dépenses, pour toutes les personnes, qu’elles vivent à domicile, en home ou à l’hôpital : - les frais d’obtention du revenu, jusqu’à concurrence du revenu brut de l’activité lucrative (art. 10 al. 3 let. a LPC) ; - les frais d’entretien des bâtiments et les intérêts hypothécaires, jusqu’à concurrence du rendement brut de l’immeuble (art. 10 al. 3 let. b LPC) ; - les cotisations aux assurances sociales de la Confédération, à l’exclusion des primes d’assurance-maladie (art. 10 al. 3 let. c LPC) ; - le montant forfaitaire annuel pour l’assurance obligatoire des soins; il doit correspondre au montant de la prime moyenne cantonale ou régionale pour l’assurance obligatoire des soins (couverture accidents comprise ; art. 10 al. 3 let. d LPC); - les pensions alimentaires versées en vertu du droit de la famille (art. 10 al. 3 let. e LPC).</w:t>
      </w:r>
    </w:p>
    <w:p>
      <w:r>
        <w:t>A/2578/2014 - 5/6 -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(RALPH JÖHL, Ergänzungsleistungen zur AHV/IV, in Schweizerisches Bundesverwaltungsrecht [SBVR] vol. XIV, Soziale Sicherheit, 2ème éd. 2007, p. 1724 n. 132). Si son existence est établie à satisfaction, un arriéré d'impôts peut, le cas échéant, être déduit de la fortune prise en considération au sens de l'art. 11 al. 1 let. c LPC (arrêt 9C_822/2009 consid. 3.3 et la référence ; ATF du 11 juillet 2012 9C_945/2011). b) Ont droit aux prestations complémentaires cantonales les personnes dont le revenu annuel déterminant n’atteint pas le revenu minimum cantonal d’aide sociale applicable (art. 4 LPCC). Selon l’art. 5 LPCC, le revenu déterminant est calculé conformément aux règles fixées dans la LPC et ses dispositions d'exécution, moyennant certaines adaptations. A teneur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 En cas de silence de la LPCC, les PCC sont régies par la LPC et ses dispositions d'exécution fédérales et cantonales, ainsi que la LPGA et ses dispositions d'exécution (art. 1A al. 1 LPCC).</w:t>
      </w:r>
    </w:p>
    <w:p>
      <w:r>
        <w:rPr>
          <w:b/>
        </w:rPr>
        <w:t>E. 6</w:t>
      </w:r>
    </w:p>
    <w:p>
      <w:r>
        <w:t>En l’espèce, l’intimé a expliqué avoir pris en compte le salaire « net » retenu par l’administration fiscale. Il faut entendre par là, non le salaire après déduction des impôts, mais après soustraction des cotisations sociales. L’intimé en a ensuite déduit CHF 1'500.- pour la couverture des besoins vitaux du couple et n’a pris en compte le solde qu’à raison des deux tiers, conformément à l’art. 11 al. 1 let. a LPC. C’est à juste titre qu’il n’a pas déduit le montants des impôts, ceux-ci ne figurant pas au nombre des dépenses reconnues, comme confirmé par la jurisprudence rappelée supra, pas plus que les frais de parking ou d’habillement. A cet égard, les griefs du recourant apparaissent manifestement infondés. Quant aux informations fournies par le recourant quant aux modifications de revenus intervenues en juillet 2014, elles ont été communiquées aux services compétents de l’intimé qui en tiendront compte pour l’avenir, étant rappelé que l’objet du litige se limite au recalcul des prestations dues au recourant jusqu’à fin juin 2014. Enfin, le recourant semble se méprendre sur l’objectif des prestations complémentaires, lequel est d’éviter que les assurés ne tombent dans le dénuement et non de leur offrir des sources de distraction ou des jouets pour leurs enfants.</w:t>
      </w:r>
    </w:p>
    <w:p>
      <w:r>
        <w:rPr>
          <w:b/>
        </w:rPr>
        <w:t>E. 7</w:t>
      </w:r>
    </w:p>
    <w:p>
      <w:r>
        <w:t>Eu égard aux considérations qui précèdent, les calculs opérés par l’intimé apparaissent corrects et conformes à la loi, de sorte que le recours est rejeté.</w:t>
      </w:r>
    </w:p>
    <w:p>
      <w:r>
        <w:t>A/2578/2014 - 6/6 -</w:t>
      </w:r>
    </w:p>
    <w:p>
      <w:r>
        <w:t>PAR CES MOTIFS, LA CHAMBRE DES ASSURANCES SOCIALES :</w:t>
      </w:r>
    </w:p>
    <w:p>
      <w:r>
        <w:t>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