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ATAS/342/2026 vom 22. April 2026</w:t>
      </w:r>
    </w:p>
    <w:p>
      <w:r>
        <w:t>GE Cour de justice, 2026-04-22, FR</w:t>
      </w:r>
    </w:p>
    <w:p>
      <w:r>
        <w:rPr>
          <w:b/>
        </w:rPr>
        <w:t xml:space="preserve">Quelle: </w:t>
      </w:r>
      <w:r>
        <w:t>https://mcp.opencaselaw.ch/entscheid/ge_gerichte_ATAS_342_2026</w:t>
      </w:r>
    </w:p>
    <w:p>
      <w:r>
        <w:t>FR: GE_GERICHTE ATAS/342/2026 du 22 avril 2026</w:t>
      </w:r>
    </w:p>
    <w:p>
      <w:r>
        <w:t>IT: GE_GERICHTE ATAS/342/2026 del 22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et à la reprise de la mesure de réinsertion.</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A/3630/2024 - 13/20 - elle est postérieure au 31 décembre 2021, le nouveau droit s’applique (cf. arrêt du Tribunal fédéral 9C_60/2023 du 20 juillet 2023 consid. 2.2. et les références). En l’occurrence, un éventuel droit de la recourante à une rente d’invalidité naîtrait au plus tôt en novembre 2023, dès lors qu’elle a été mise au bénéfice d’une mesure d’ordre professionnelle qui a pris fin en octobre 2023, laquelle prime la rente (art. 28 al. 1bis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Selon la jurisprudence,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 Est réputée invalidité l’incapacité de gain totale ou partielle qui est présumée permanente ou de longue durée (art. 8 al. 1 LPGA).</w:t>
      </w:r>
    </w:p>
    <w:p>
      <w:r>
        <w:rPr>
          <w:b/>
        </w:rPr>
        <w:t>E. 3.3</w:t>
      </w:r>
    </w:p>
    <w:p>
      <w:r>
        <w:t>Les atteintes à la santé psychique peuvent, comme les atteintes physiques, entraîner une invalidité au sens de l'art. 4 al. 1 LAI en liaison avec l'art. 8 LPGA.</w:t>
      </w:r>
    </w:p>
    <w:p>
      <w:r>
        <w:t>A/3630/2024 - 14/20 -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 786/04 du 19 janvier 2006 consid. 3.1). Il y a lieu d'examiner la capacité de travail et la capacité fonctionnelle d’une personne atteinte de troubles psychique dans le cadre d'une procédure structurée d'administration des preuves à l'aide d'indicateurs (ATF 141 V 281), dès lors que ceux-ci ne peuvent en principe être déterminées ou prouvés sur la base de critères objectifs que de manière limitée.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A/3630/2024 - 15/20 -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w:t>
      </w:r>
    </w:p>
    <w:p>
      <w:r>
        <w:t>A/3630/2024 - 16/20 -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3.4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3.5</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4.1</w:t>
      </w:r>
    </w:p>
    <w:p>
      <w:r>
        <w:t>En l’espèce, il convient d’examiner en premier lieu la valeur probante de l’expertise de la Dre L______. Son rapport répond aux réquisits permettant en principe de considérer l’expertise probante. Il a toutefois fait l’objet de critiques par les parties qu’il convient d’examiner. L’intimé a fait valoir, sur la base d’un avis du SMR du 15 janvier 2026, que l’expertise mettait en évidence une absence d’hospitalisation ainsi qu’un status psychiatrique rassurant. L’experte avait en effet indiqué que l’expertisée s’était présentée à l’heure, avec une tenue correcte et une hygiène corporelle conservée. Sur le plan psychomoteur, il n’y avait ni accélération ni ralentissement. L’assurée était collaborante, elle ne présentait pas de troubles de la conscience, pas de troubles de l’attention, pas de troubles de la concentration ni de troubles de la</w:t>
      </w:r>
    </w:p>
    <w:p>
      <w:r>
        <w:t>A/3630/2024 - 17/20 - mémoire. L’experte relevait des éléments rapportés (non objectivables), soit une perte d’intérêt pour les relations sociales, une baisse de la libido, une anhédonie, un sentiment de désespoir, des ruminations. Il était en outre mentionné une fatigabilité, des troubles du sommeil avec des réveils nocturnes et précoces ainsi que des cauchemars. Le SMR avait remarqué que l’experte n’avait pas noté de signes objectivables de fatigabilité, soit par exemple des bâillements, des soupirs, ou un endormissement durant l’entretien. Au contraire, elle avait précisé que la recourante avait un discours clair, sans ralentissement ni accélération hormis quelques pertes du fil de la pensée. Elle n’avait pas constaté de fuite des idées, de relâchement des associations ou d’idées délirantes. Selon l’intimé, on ne pouvait que s’étonner du diagnostic de trouble dépressif récurrent, épisode actuel sévère sans symptômes psychotiques retenus par l’experte judiciaire. La chambre de céans constate que si les éléments de l’expertise évoqués par l’intimé sont exacts, celui-ci n’a pas mentionné que l’experte avait également constaté que l’expertisée était déprimée, que ses affects étaient principalement tristes et qu’elle avait pleuré pendant tout l’entretien. Elle présentait une perte d’intérêt pour les relations sociales, une baisse de la libido, une perte d’élan vital, de la fatigue, une anhédonie et une apathie. Elle décrivait un sentiment de désespoir et un découragement concernant sa situation actuelle. Elle présentait des ruminations, un sentiment de culpabilité et une perte de l’estime de soi. Elle avait des troubles du sommeil avec des réveils nocturnes et précoces, avec des cauchemars régulièrement. Elle semblait anxieuse et avait un niveau important de tensions internes lors de l’entretien. Si le discours était clair, ni ralenti, ni accéléré, il y avait souvent une perte du fil de la pensée. Le contenu du discours et les thèmes abordés concernaient la dépression, son parcours de vie compliqué et douloureux, marqué par les traumas, les troubles psychiques de ses enfants ainsi que les siens, ses tentatives de rester active professionnellement et l’épuisement final. Il ressort ainsi des constats de l’experte pris dans leur ensemble que le status psychiatrique n’était pas rassurant, contrairement à ce qu’allègue l’intimé. L’experte a en outre indiqué qu’elle avait fondé ses conclusions non seulement sur ses propres constats, mais également sur les rapports de sa psychiatre qui la suivait depuis plusieurs années, ce qui paraît cohérent s’agissant de déterminer l’état de santé de la recourante de façon rétrospective au jour de la demande (novembre 2021). S’agissant d’une atteinte psychique, les déclarations de l’expertisée sont importantes et il n’est pas possible d’objectiver une atteinte comme c’est le cas pour une atteinte somatique. C’est pour cette raison que le Tribunal fédéral a développé des indicateurs de gravité et de cohérence permettant d’établir la capacité de travail d’une personne souffrant de troubles psychiques. L’experte a correctement examiné ces indicateurs. Elle a notamment relevé que le trouble dépressif récurrent était grave, qu’il n’y avait pas d’exagération des symptômes ni</w:t>
      </w:r>
    </w:p>
    <w:p>
      <w:r>
        <w:t>A/3630/2024 - 18/20 - constellations semblables qui laisseraient planer un doute sur la situation réelle de l’expertisée, que son comportement était cohérent et qu’elle avait peu de ressources mobilisables, à savoir le soutien de son mari et ses enfants ainsi que de sa psychiatre. Les limitations du niveau d’activité étaient uniformes dans tous les domaines. Le niveau d’activité sociale était faible, voire inexistant depuis 2021, lors de son arrêt de son travail. Il était resté quasiment inexistant depuis cette période, sans changement. Sa psychiatre décrivait une patiente compliante aux soins, mais dont l’évolution du trouble dépressif récurrent était globalement stationnaire avec des aggravations périodiques en lien avec des facteurs de stress intra-familiaux (problèmes de santé et de scolarité de ses filles). Le traitement psychotrope mis en place correspondait aux guidelines. Les conclusions de l’experte sur la capacité de travail de la recourante sont compatibles avec son analyse des indicateurs. Elle a encore commenté les rapports du Dr J______ et ceux de la psychiatre traitante de la recourante de façon convaincante.</w:t>
      </w:r>
    </w:p>
    <w:p>
      <w:r>
        <w:rPr>
          <w:b/>
        </w:rPr>
        <w:t>E. 4.2</w:t>
      </w:r>
    </w:p>
    <w:p>
      <w:r>
        <w:t>La recourante a, pour sa part, relevé que l’experte avait fait une erreur au ch. 1 de son rapport en mentionnant que ses filles avaient 16 et 13 ans actuellement et en mentionnant le nom d’une autre expertisée au chiffre 2. Par ailleurs, elle ne se reconnaissait pas dans le trouble de la personnalité borderline qu’elle avait retenu, contrairement aux Dres K______ et E______. La chambre de céans constate que ces critiques ne remettent pas sérieusement en cause les conclusions de l’experte judiciaire, ce d’autant moins que la recourante a précisé que son état actuel ne s’était pas amélioré et qu’elle se sentait toujours épuisée physiquement et psychiquement avec un sentiment d’échec, de peur et de désespoir. Ces journées étaient très dures à vivre avec sa maladie et celle de ses filles qui s’étaient empirées ces derniers temps. La recourante ne conteste ainsi pas les conclusions de l’experte sur sa capacité de travail.</w:t>
      </w:r>
    </w:p>
    <w:p>
      <w:r>
        <w:rPr>
          <w:b/>
        </w:rPr>
        <w:t>E. 4.3</w:t>
      </w:r>
    </w:p>
    <w:p>
      <w:r>
        <w:t>Selon l’experte, l’incapacité de travail durable à 100% datait de 2023 et en 2022, elle était de 50%, en lien avec les conséquences psychologiques de son licenciement, au sentiment d’avoir tenu le coup longtemps au travail et d’avoir subi du harcèlement. Des difficultés personnelles s’étaient rajoutées, avec les idées suicidaires et le harcèlement scolaire de sa fille aînée. Finalement, en 2023, suite à l’hospitalisation en psychiatrie de sa fille, l’état psychique de l’expertisée semblait s’être empiré et elle n’avait plus été capable de travailler, ce qui était encore le cas à ce jour. La chambre de céans retient que l’expertise judiciaire est convaincante de manière générale, avec une réserve sur la capacité de travail retenue de 50% dès 2022, car il ressort du dossier que la recourante n’a pas été en état de travailler à ce taux pendant l’année 2022, alors qu’elle travaillait à la brocante dans le cadre de la mesure d’entrainement progressif dont elle bénéficiait.</w:t>
      </w:r>
    </w:p>
    <w:p>
      <w:r>
        <w:t>A/3630/2024 - 19/20 - Les conclusions de l’experte doivent également être précisées, car elle mentionne une incapacité de travail totale dès 2023, ce qui n’est pas précis. Il ressort des pièces de la procédure que la capacité de la recourante n’était pas nulle durant toute cette année, puisque, même après l’hospitalisation de sa fille en février 2023, elle a pu augmenter son taux d’activité à la brocante jusqu’à 50% à la fin de la mesure, en octobre 2023. Dès lors qu’il ressort des faits qu’elle a arrêté la mesure à la fin du mois d’octobre en raison des problèmes de sa fille et des effets de ceux-ci sur son propre état psychique, il faut préciser les conclusions de l’experte dans le sens que l’incapacité totale de travail de la recourante a commencé seulement dès le mois de novembre 2023. L’experte a encore précisé que la recourante n’avait plus été capable de travailler par la suite. Ces conclusions correspondent aux constats de la psychiatre de la recourante (rapports du 30 novembre 2023, 18 décembre 2024 et 25 novembre 2025) et ne sont pas sérieusement remises en cause par l’intimé. La question de la capacité de travail exacte de la recourante en 2022 et jusqu’à fin octobre 2023 peut rester ouverte, dès lors que celle-ci n’avait pas encore droit à une rente d’invalidité puisqu’elle faisait alors l’objet d’une mesure de réadaptation (art. 28 al. 1bis LAI).</w:t>
      </w:r>
    </w:p>
    <w:p>
      <w:r>
        <w:rPr>
          <w:b/>
        </w:rPr>
        <w:t>E. 4.4</w:t>
      </w:r>
    </w:p>
    <w:p>
      <w:r>
        <w:t>Sur cette base, il convient de retenir que la recourante a été incapable de travailler au moins à 50% dès 2022 et jusqu’à la fin du mois d’octobre 2023, et à 100% dès le mois de novembre 2023. Un droit à une rente entière d’invalidité doit lui être reconnu dès le mois de novembre 2023, date à partir de laquelle elle était totalement incapable de travailler et ne faisait plus l’objet d’une mesure de réadaptation (art. 28 LAI).</w:t>
      </w:r>
    </w:p>
    <w:p>
      <w:r>
        <w:rPr>
          <w:b/>
        </w:rPr>
        <w:t>E. 5</w:t>
      </w:r>
    </w:p>
    <w:p>
      <w:r>
        <w:t>Au vu de ce qui précède, le recours sera admis et la décision du 4 octobre 2024 annulée. Il ne sera pas alloué d’indemnité de procédure à la recourante, qui n'est pas assistée d'un conseil et qui n’a pas fait valoir de frais engendrés par la procédure (art. 61 let. g LPGA). Au vu du sort du recours, un émolument de CHF 200.- sera mis à la charge de l’intimé (art. 69 al. 1bis LAI). Les frais de l’expertise judiciaire seront laissés à la charge de l’État, l’intimé n’ayant pas procédé à une instruction présentant des lacunes ou des insuffisances caractérisées (ATF 137 V 210 consid. 4.4.2).</w:t>
      </w:r>
    </w:p>
    <w:p>
      <w:r>
        <w:t>A/3630/2024 - 20/20 -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