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ATAS/342/2025 vom 14. Mai 2025</w:t>
      </w:r>
    </w:p>
    <w:p>
      <w:r>
        <w:t>GE Cour de justice, 2025-05-14, FR</w:t>
      </w:r>
    </w:p>
    <w:p>
      <w:r>
        <w:rPr>
          <w:b/>
        </w:rPr>
        <w:t xml:space="preserve">Quelle: </w:t>
      </w:r>
      <w:r>
        <w:t>https://mcp.opencaselaw.ch/entscheid/ge_gerichte_ATAS_342_2025</w:t>
      </w:r>
    </w:p>
    <w:p>
      <w:r>
        <w:t>FR: GE_GERICHTE ATAS/342/2025 du 14 mai 2025</w:t>
      </w:r>
    </w:p>
    <w:p>
      <w:r>
        <w:t>IT: GE_GERICHTE ATAS/342/2025 del 14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A/1761/2024 - 8/18 -</w:t>
      </w:r>
    </w:p>
    <w:p>
      <w:r>
        <w:rPr>
          <w:b/>
        </w:rPr>
        <w:t>E. 1.2</w:t>
      </w:r>
    </w:p>
    <w:p>
      <w:r>
        <w:t>Le délai de recours est de trente jours (art. 56 LPGA ; art. 62 al. 1 loi sur la procédure administrative du 12 septembre 1985 - LPA-GE - E 5 10). Interjeté dans la forme et le délai prévus par la loi, le recours est recevable.</w:t>
      </w:r>
    </w:p>
    <w:p>
      <w:r>
        <w:rPr>
          <w:b/>
        </w:rPr>
        <w:t>E. 2</w:t>
      </w:r>
    </w:p>
    <w:p>
      <w:r>
        <w:t>Le litige porte sur le bien-fondé de la décision octroyant une rente limitée dans le temps, soit entière du 1er mai au 30 juin 2023, de 69% du 1er juillet au 30 septembre 2023 et entière du 1er octobre 2023 au 30 avril 2024, la recourante concluant à la poursuite du versement de la rente au-delà du 30 avril 2024.</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la décision est postérieure au 1er janvier 2022. Par ailleurs, un éventuel droit à une rente d’invalidité naîtrait au plus tôt en mai 2023, soit six mois après le dépôt de la demande du 22 novembre 2022 (cf. art. 29 al. 1 LAI), de sorte que les dispositions légales applicables seront citées dans leur nouvelle teneur.</w:t>
      </w:r>
    </w:p>
    <w:p>
      <w:r>
        <w:rPr>
          <w:b/>
        </w:rPr>
        <w:t>E. 4.1</w:t>
      </w:r>
    </w:p>
    <w:p>
      <w:r>
        <w:t>En vertu des art. 8 al. 1 LPGA et 4 al. 1 LAI, est réputée invalidité, l'incapacité de gain totale ou partielle présumée permanente ou de longue durée, résultant d'une infirmité congénitale, d'une maladie ou d'un accident.</w:t>
      </w:r>
    </w:p>
    <w:p>
      <w:r>
        <w:rPr>
          <w:b/>
        </w:rPr>
        <w:t>E. 4.2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w:t>
      </w:r>
    </w:p>
    <w:p>
      <w:r>
        <w:rPr>
          <w:b/>
        </w:rPr>
        <w:t>E. 4.3</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w:t>
      </w:r>
    </w:p>
    <w:p>
      <w:r>
        <w:t>A/1761/2024 - 9/18 - d'incapacité de travail de longue durée, l'activité qui peut être exigée de lui peut aussi relever d'une autre profession ou d'un autre domaine d'activité.</w:t>
      </w:r>
    </w:p>
    <w:p>
      <w:r>
        <w:rPr>
          <w:b/>
        </w:rPr>
        <w:t>E. 5</w:t>
      </w:r>
    </w:p>
    <w:p>
      <w:r>
        <w:t>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w:t>
      </w:r>
    </w:p>
    <w:p>
      <w:r>
        <w:t>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8.2</w:t>
      </w:r>
    </w:p>
    <w:p>
      <w:r>
        <w:t>La reconnaissance de l'existence d'une atteinte à la santé psychique suppose la présence d'un diagnostic émanent d'un expert (psychiatre) et s'appuyant selon les</w:t>
      </w:r>
    </w:p>
    <w:p>
      <w:r>
        <w:t>A/1761/2024 - 10/18 - règles de l'art sur les critères d'un système de classification reconnu, telle la classification internationale des maladies (ci-après : CIM) ou le DSM-IV (Diagnostic and Statistical Manual) (ATF 143 V 409 consid. 4.5.2 ; 141 V 281 consid. 2.1 et 2.1.1 ; 130 V 396 consid. 5.3 et 6).</w:t>
      </w:r>
    </w:p>
    <w:p>
      <w:r>
        <w:rPr>
          <w:b/>
        </w:rPr>
        <w:t>E. 8.3</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8.4</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8.5</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8.6</w:t>
      </w:r>
    </w:p>
    <w:p>
      <w:r>
        <w:t>Il y a lieu de se fonder sur une grille d'analyse comportant divers indicateurs qui rassemblent les éléments essentiels propres aux troubles de nature psychosomatique (ATF 141 V 281 consid. 4). I. Catégorie « Degré de gravité fonctionnel » (ATF 141 V 281 consid. 4.3),</w:t>
      </w:r>
    </w:p>
    <w:p>
      <w:r>
        <w:t>A/1761/2024 - 11/18 -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8.7</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8.8</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w:t>
      </w:r>
    </w:p>
    <w:p>
      <w:r>
        <w:t>A/1761/2024 - 12/18 -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10.4</w:t>
      </w:r>
    </w:p>
    <w:p>
      <w:r>
        <w:t>Selon la jurisprudence,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w:t>
      </w:r>
    </w:p>
    <w:p>
      <w:r>
        <w:t>A/1761/2024 - 13/18 -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10.5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w:t>
      </w:r>
    </w:p>
    <w:p>
      <w:r>
        <w:t>A/1761/2024 - 14/18 - l’art.17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13.1</w:t>
      </w:r>
    </w:p>
    <w:p>
      <w:r>
        <w:t>En l’espèce, la recourante conteste l’appréciation médicale de l’OAI et conclut à la reconnaissance de la persistance de sa totale incapacité de travail et au maintien de son droit à la rente au-delà du 30 avril 2024. L’intimé persiste dans sa position en faisant valoir les conclusions de l’expertise du Dr H______ et du SMR pour admettre une révision du droit à la rente.</w:t>
      </w:r>
    </w:p>
    <w:p>
      <w:r>
        <w:rPr>
          <w:b/>
        </w:rPr>
        <w:t>E. 13.2</w:t>
      </w:r>
    </w:p>
    <w:p>
      <w:r>
        <w:t>Il sied dès lors d’examiner les rapports médicaux au dossier, en particulier les rapports des expertises psychiatriques des Drs H______ et J______ qui ont été partiellement suivis par le SMR, le volet physique de l’expertise de SWISS MÉDICALES SÀRL n’étant pas remis en question. S’agissant de la valeur probante du rapport d'expertise du Dr H______ du 4 janvier 2024, l’on doit relever qu’il ne répond pas sur le plan formel, aux exigences posées par la jurisprudence pour qu'on puisse lui accorder une pleine valeur probante. En effet, de l’aveu même du SMR, le Dr H______ n’a pas eu accès à un dossier complet puisqu’il n’a pas pu prendre connaissance du rapport d’expertise du Dr J______ de septembre 2023 qui contredit notamment son appréciation rétrospective de la capacité de travail de la recourante. À ce stade, il sied de relever que le SMR a partiellement modifié les conclusions du Dr H______ en retenant une incapacité totale de travail du 1er juillet 2023 au 3 janvier 2024 en se basant sur le rapport d’expertise du Dr J______. Or, il convient de relever que le Dr H______ a écarté le diagnostic de stress post- traumatique et a retenu une capacité de travail totale dès le 1er août 2023 en raison</w:t>
      </w:r>
    </w:p>
    <w:p>
      <w:r>
        <w:t>A/1761/2024 - 15/18 - de la rémission de l’épisode dépressif, seul diagnostic présenté par la recourante selon son appréciation. De son côté, le Dr J______, qui n’a pas eu accès au dossier de l’OAI, a retenu un épisode dépressif modéré et un trouble de stress post-traumatique complexe, ces deux diagnostics justifiant la persistance de l’incapacité de travail totale au moment de son expertise et encore vraisemblablement pour plusieurs mois. Par conséquent, force est de constater que les deux experts ont eu une analyse très différente de l’état de santé de la recourante, notamment quant aux diagnostics, en particulier quant au trouble de stress post-traumatique. Cette problématique quant aux diagnostics est d’ailleurs soulevée par le Dr I______ qui s’est également penché sur le dossier de la recourante pour GENERALI ASSURANCES et qui a estimé, quant à lui, que le diagnostic de stress post-traumatique était le plus à même à recouvrir tous les symptômes de la recourante. Dans son rapport d’expertise, le Dr J______ a fait un pronostic sur l’évolution de la capacité de travail de la recourante tout en relevant la difficulté de se prononcer sur une possible amélioration de celle-ci car elle était toujours exposée en raison de la procédure pénale. Au vu de ce qui précède, il y a lieu de relever qu’en admettant une incapacité totale de travail du 1er juillet 2023 au 3 janvier 2024, le SMR a validé le diagnostic de stress post-traumatique, nié par le Dr H______, et remis en cause l’appréciation de ce dernier. Le SMR a donc lui-même considéré que les conclusions du Dr H______ n’étaient pas probantes. À cela s’ajoute que, face au refus de la recourante de préciser avec qui elle vivait pour des raisons de sécurité selon ce qui est relaté dans le rapport d’expertise, le Dr H______ en a, semble-t-il, déduit que celle-ci avait eu les ressources nécessaires pour entamer une nouvelle relation malgré son vécu. Cet élément a vraisemblablement influencé l’appréciation du Dr H______ qui s’y réfère notamment pour étayer les ressources de la recourante. Cependant, cette dernière conteste toute nouvelle relation. Il sied par ailleurs de relever qu’en page 24 du rapport d’expertise, le Dr H______ a noté « seule » sous vie de couple. Selon les éléments au dossier, la recourante vit chez sa mère par peur de représailles selon ses déclarations. Au vu de tous ces éléments, on ne saurait reconnaître de valeur probante à l’expertise du Dr H______. Quant à l’expertise du Dr J______, elle ne repose pas sur un dossier complet et elle ne permet en tout état de cause pas de se prononcer sur l’évolution de</w:t>
      </w:r>
    </w:p>
    <w:p>
      <w:r>
        <w:t>A/1761/2024 - 16/18 - l’incapacité ou capacité de travail de la recourante après septembre 2023, ce dernier soulignant la difficulté de se prononcer sur une possible amélioration. Quant aux rapports de la Dre C______, il apparaît que ses conclusions quant à l’évolution de la capacité de travail ne sont notamment pas suffisamment motivées. En effet, pour rappel, la Dre C______ a annoncé une aggravation de l’état de santé et a conclu à une totale incapacité de travail par rapport du 24 novembre 2022, elle demandait dès lors à GENERALI ASSURANCES de revoir sa position. Par rapport du 13 décembre 2022, la Dre C______ mettait en avant l’aggravation de l’état de santé de la recourante et sa totale incapacité de travail. Or, à peine quelques jours plus tard, soit le 19 décembre 2022, elle a émis un certificat de travail en indiquant une capacité de travail de 30% dès le 1er janvier 2023 sans autre motivation. Par conséquent, il n’existe pas d’avis médical probant permettant de trancher le droit aux prestations. Lorsque le juge constate qu'une expertise est nécessaire, il doit en principe la mettre en œuvre lui-même. Un renvoi à l'administration reste cependant possible. En l’espèce, au vu des carences du volet psychiatrique de l’expertise de SWISS MÉDICALES SÀRL et du besoin de réactualiser le dossier médical, un renvoi à l’intimé se justifie pour mise en œuvre d’une nouvelle expertise psychiatrique. Il lui appartiendra ensuite de rendre une nouvelle décision sur le droit de la recourante à une rente d’invalidité au-delà du 30 avril 2024.</w:t>
      </w:r>
    </w:p>
    <w:p>
      <w:r>
        <w:rPr>
          <w:b/>
        </w:rPr>
        <w:t>E. 14</w:t>
      </w:r>
    </w:p>
    <w:p>
      <w:r>
        <w:t>Le recours est partiellement admis.</w:t>
      </w:r>
    </w:p>
    <w:p>
      <w:r>
        <w:rPr>
          <w:b/>
        </w:rPr>
        <w:t>E. 15</w:t>
      </w:r>
    </w:p>
    <w:p>
      <w:r>
        <w:t>La juridiction saisie dispose d’un large pouvoir d’appréciation quant à la quotité de l’indemnité allouée (art. 61 let. g LPGA et 89H al. 3 LPA ; cf. aussi art. 87 al. 1, 2 et 3 LPA) et, de jurisprudence constante, celle-ci ne constitue qu’une participation aux honoraires d’avocat, ce qui résulte aussi, implicitement, de l'art. 6 du règlement sur les frais, émoluments et indemnités en procédure administrative du 30 juillet 1986 (RFPA - E 5 10.03) dès lors que ce dernier fixe le montant minimal de l'indemnité à CHF 200.- et le plafonne à CHF 10'000.- (ATAS/323/2021 du 13 avril 2021 ; ATAS/305/2021 du 6 avril 2021 consid. 10; ATA/198/2021 du 23 février 2021 ; ATA/900/2020 du 22 septembre 2020 consid. 4b), étant au surplus précisé que la garantie de la propriété n'impose nullement une pleine compensation du coût de la défense de la partie victorieuse (arrêt du Tribunal fédéral 1C_58/2019 du 31 décembre 2019 consid. 3.4; ATA/198/2021 précité ; ATA/900/2020 précité consid. 4b). Pour déterminer le montant de l’indemnité, il convient de prendre en compte les différents actes d’instruction, le nombre d’échanges d’écritures et d’audiences ; le montant retenu doit intégrer l’importance et la pertinence des écritures produites et, de manière générale, la complexité de l’affaire (arrêt du Tribunal fédéral 1C_58/2019 du</w:t>
      </w:r>
    </w:p>
    <w:p>
      <w:r>
        <w:t>A/1761/2024 - 17/18 - 31 décembre 2019 consid.3.4 ; ATAS/323/2021 précité ; ATA/198/2021 précité ; ATA/900/2020 précité consid. 4c). En l’occurrence, la recourante fait valoir une activité de son avocate de plus de 25 heures au coût horaire de CHF 300.-, ce qui représente la somme de CHF 7'600.- (TTC) conformément à l’état de frais produit le 28 février 2025. La recourante obtenant partiellement gain de cause et étant assistée d'un conseil, a droit à des dépens qui seront fixés à CHF 3'000.- (art. 61 let. g LPGA et 89H al. 3 LPA), montant tenant compte de la complexité de la cause et du fait que les actes de procédure de l’assurée ont consisté en son recours et sa réplique. La procédure en matière d’octroi de prestations d’assurance-invalidité n’étant pas gratuite (art. 69 al. 1bis LAI), l’intimé supporte l’émolument de CHF 200.-.</w:t>
      </w:r>
    </w:p>
    <w:p>
      <w:r>
        <w:t>A/1761/2024 - 18/18 -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