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ATAS/342/2022 vom 13. April 2022</w:t>
      </w:r>
    </w:p>
    <w:p>
      <w:r>
        <w:t>GE Cour de justice, 2022-04-13, FR</w:t>
      </w:r>
    </w:p>
    <w:p>
      <w:r>
        <w:rPr>
          <w:b/>
        </w:rPr>
        <w:t xml:space="preserve">Quelle: </w:t>
      </w:r>
      <w:r>
        <w:t>https://mcp.opencaselaw.ch/entscheid/ge_gerichte_ATAS_342_2022</w:t>
      </w:r>
    </w:p>
    <w:p>
      <w:r>
        <w:t>FR: GE_GERICHTE ATAS/342/2022 du 13 avril 2022</w:t>
      </w:r>
    </w:p>
    <w:p>
      <w:r>
        <w:t>IT: GE_GERICHTE ATAS/342/2022 del 13 aprile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w:t>
      </w:r>
    </w:p>
    <w:p>
      <w:r>
        <w:rPr>
          <w:b/>
        </w:rPr>
        <w:t>E. 4</w:t>
      </w:r>
    </w:p>
    <w:p>
      <w:r>
        <w:t>Le litige porte sur le point de savoir si dans le cadre fixé par l’arrêt de renvoi 9C_567/2019 précité, le recourant remplit les conditions du droit à une allocation pour impotent de degré moyen à partir du 1er mars 2015, singulièrement si les conditions d’octroi d’un accompagnement pour faire face aux nécessités de la vie sont remplies.</w:t>
      </w:r>
    </w:p>
    <w:p>
      <w:r>
        <w:rPr>
          <w:b/>
        </w:rPr>
        <w:t>E. 5</w:t>
      </w:r>
    </w:p>
    <w:p>
      <w:r>
        <w:t>Selon l’art. 42 al. 1 1ère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w:t>
      </w:r>
    </w:p>
    <w:p>
      <w:r>
        <w:t>A/3492/2021 - 11/21 - Est aussi considérée comme impotente la personne vivant chez elle qui, en raison d’une atteinte à sa santé, a durablement besoin d’un accompagnement lui permettant de faire face aux nécessités de la vie (art. 42 al. 3 1ère phrase LAI).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n. 1 et 6 ad art. 42 LAI). Toutefois, si une personne souffre uniquement d’une atteinte à sa santé psychique, elle doit, pour être considérée comme impotente selon l’art. 42 al. 3 1ère phrase LAI, avoir droit au moins à un quart de rente (art. 42 al. 3 2ème phrase LAI).</w:t>
      </w:r>
    </w:p>
    <w:p>
      <w:r>
        <w:rPr>
          <w:b/>
        </w:rPr>
        <w:t>E. 6.1</w:t>
      </w:r>
    </w:p>
    <w:p>
      <w:r>
        <w:t>La loi distingue trois degrés d’impotence: grave, moyen ou faible (art. 42 al. 2 LAI).</w:t>
      </w:r>
    </w:p>
    <w:p>
      <w:r>
        <w:rPr>
          <w:b/>
        </w:rPr>
        <w:t>E. 6.2</w:t>
      </w:r>
    </w:p>
    <w:p>
      <w:r>
        <w:t>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w:t>
      </w:r>
    </w:p>
    <w:p>
      <w:r>
        <w:rPr>
          <w:b/>
        </w:rPr>
        <w:t>E. 6.3</w:t>
      </w:r>
    </w:p>
    <w:p>
      <w:r>
        <w:t>L’art. 37 al. 2 RAI dispose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w:t>
      </w:r>
    </w:p>
    <w:p>
      <w:r>
        <w:t>A/3492/2021 - 12/21 -</w:t>
      </w:r>
    </w:p>
    <w:p>
      <w:r>
        <w:rPr>
          <w:b/>
        </w:rPr>
        <w:t>E. 6.4</w:t>
      </w:r>
    </w:p>
    <w:p>
      <w:r>
        <w:t>L’art. 37 al. 3 RAI dispose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w:t>
      </w:r>
    </w:p>
    <w:p>
      <w:r>
        <w:rPr>
          <w:b/>
        </w:rPr>
        <w:t>E. 7</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8.1</w:t>
      </w:r>
    </w:p>
    <w:p>
      <w:r>
        <w:t>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w:t>
      </w:r>
    </w:p>
    <w:p>
      <w:r>
        <w:rPr>
          <w:b/>
        </w:rPr>
        <w:t>E. 8.2</w:t>
      </w:r>
    </w:p>
    <w:p>
      <w:r>
        <w:t>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w:t>
      </w:r>
    </w:p>
    <w:p>
      <w:r>
        <w:t>A/3492/2021 - 13/21 -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La nécessité de l’aide apportée par une tierce personne doit être examinée de manière objective, selon l’état de santé de l’assuré concerné, indépendamment de l’environnement dans lequel celui-ci se trouve;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w:t>
      </w:r>
    </w:p>
    <w:p>
      <w:r>
        <w:rPr>
          <w:b/>
        </w:rPr>
        <w:t>E. 8.3</w:t>
      </w:r>
    </w:p>
    <w:p>
      <w:r>
        <w:t>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w:t>
      </w:r>
    </w:p>
    <w:p>
      <w:r>
        <w:t>A/3492/2021 - 14/21 - officiels, le personnel médical ou le coiffeur (arrêt du Tribunal fédéral 9C_131/2019 du 16 août 2019 consid. 4.1 et la référence).</w:t>
      </w:r>
    </w:p>
    <w:p>
      <w:r>
        <w:rPr>
          <w:b/>
        </w:rPr>
        <w:t>E. 8.4</w:t>
      </w:r>
    </w:p>
    <w:p>
      <w:r>
        <w:t>Dans la troisième éventualité, l’accompagnement en cause doit prévenir le risque d’isolement durable ainsi que de la perte de contacts sociaux et, par-là, la péjoration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w:t>
      </w:r>
    </w:p>
    <w:p>
      <w:r>
        <w:rPr>
          <w:b/>
        </w:rPr>
        <w:t>E. 8.5</w:t>
      </w:r>
    </w:p>
    <w:p>
      <w:r>
        <w:t>L’art. 38 al. 3 1ère phrase RAI précise que n’est pris en considération que l’accompagnement qui est régulièrement nécessaire et lié aux situations mentionnées à l’al. 1. Selon le chiffre 8053 de la Circulaire sur l’invalidité et l’impotence dans l’assurance-invalidité établie par l’Office fédéral des assurances sociales [OFAS ;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w:t>
      </w:r>
    </w:p>
    <w:p>
      <w:r>
        <w:rPr>
          <w:b/>
        </w:rPr>
        <w:t>E. 8.6</w:t>
      </w:r>
    </w:p>
    <w:p>
      <w:r>
        <w:t>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w:t>
      </w:r>
    </w:p>
    <w:p>
      <w:r>
        <w:t>A/3492/2021 - 15/21 - Il n’est pas nécessaire que l’accompagnement pour faire face aux nécessités de la vie soit assuré par un personnel d’encadrement qualifié ou spécialement formé (arrêt du Tribunal fédéral I 652/06 du 25 juillet 2007 consid. 5.2).</w:t>
      </w:r>
    </w:p>
    <w:p>
      <w:r>
        <w:rPr>
          <w:b/>
        </w:rPr>
        <w:t>E. 9</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11.1</w:t>
      </w:r>
    </w:p>
    <w:p>
      <w:r>
        <w:t>En l’espèce, il est constant que le recourant dépend entièrement de l’aide d’un tiers pour le nettoyage de l’appartement, l’entretien du linge et la préparation des repas et que depuis que sa fille a quitté le domicile parental en 2017, cette aide est fournie exclusivement par l’ex-épouse. À ce sujet, l’enquête du 7 juin 2021, effectuée en exécution de l’arrêt de renvoi 9C_567/2019 du 23 décembre 2019, retient que bien qu’il existe un besoin d’accompagnement du recourant pour les activités précitées, dont l’exécution demande 6h30 par semaine à l’ex-épouse (soit un laps de temps qu’elle n’aurait pas besoin de mobiliser si elle ne vivait pas avec le recourant mais seule) et, partant, une durée supérieure au minimum de 2h par semaine requis sur une période de trois mois (cf. ci-dessus : consid. 9.5), il serait exigible que l’ex-épouse consacre cette durée supplémentaire de 6h30 à son mari</w:t>
      </w:r>
    </w:p>
    <w:p>
      <w:r>
        <w:t>A/3492/2021 - 16/21 - au titre de l’obligation de réduire le dommage. L’enquêtrice retient par ailleurs que dans la mesure où l’on pourrait exiger même d’une personne travaillant à plein temps et partageant son domicile avec un assuré ne pouvant pas vivre de manière indépendante sans l’accompagnement d’un tiers, qu’elle lui consacre 6h30 par semaine par la prise en charge des activités précitées, il n’existerait pas d’explication au fait qu’en l’espèce, l’ex-épouse ait réduit son temps de travail de 70-80h à 40-48h par mois en 2014-2015. Pour compléter ce raisonnement, qui ne prête pas le flanc à la critique dans ses grandes lignes, la chambre de céans relève qu’il ressort également de l’enquête du 7 juin 2021 que la durée et le nombre de tâches au foyer assumées en faveur du recourant n’ont pour ainsi dire pas été modifiées par les problèmes de santé de l’intéressé ; alors que l’appartement est équipé d’un lave-vaisselle, il arrivait qu’avant l’atteinte à la santé, le recourant s’occupe parfois (mais seulement) de la vaisselle (ce qu’il ne peut plus faire), et qu’il accompagne son ex-épouse (qui ne conduit pas) en voiture jusqu’au centre commercial, ce qu’il continue à faire à ce jour.</w:t>
      </w:r>
    </w:p>
    <w:p>
      <w:r>
        <w:rPr>
          <w:b/>
        </w:rPr>
        <w:t>E. 11.2</w:t>
      </w:r>
    </w:p>
    <w:p>
      <w:r>
        <w:t>Dans un premier moyen, le recourant soutient en substance que dans le cadre de l’établissement du droit à une allocation pour impotent, on ne saurait déterminer l’exigibilité de l’aide apportée par l’ex-épouse au moyen des principes qui régissent l’établissement de l’invalidité dans la sphère ménagère. Ce point de vue ne saurait être suivi, le contraire étant précisément admis (cf. arrêt du Tribunal fédéral 9C_410/2009 du 1er avril 2010 consid. 5.5 et le renvoi à l’arrêt du Tribunal fédéral des assurances I 300/04 du 19 octobre 2004 consid. 6.2.2 qui concerne l’exigibilité de l’aide fournie par les membres de la famille dans le contexte de l’évaluation des empêchements rencontrés dans la sphère ménagère). Ainsi, on ne saurait faire grief à l’intimé de se référer à un arrêt 9C_446/2008 du 18 septembre 2008, dans lequel le Tribunal fédéral a retenu, au sujet d’un mari travaillant à plein temps comme constructeur de voies, que celui-ci pouvait raisonnablement apporter une aide au ménage de 1h à 1h30 chaque jour de la semaine (soit 7h à 10h30 par semaine), ce qui se situe au-delà du temps supplémentaire de 6h30 hebdomadaires qu’en l’espèce l’ex-épouse consacre aux activités ménagères induites par le fait qu’elle vive avec le recourant, étant relevé, au surplus, que celle-ci ne travaillait déjà plus à plein temps suite à la faillite de la société G______Sàrl au mois d’août 2011. Il s’ensuit, à ce stade de l’analyse, que la thèse du recourant – non étayée et contredite par les constatations de l’enquêtrice – selon laquelle « la modification de l’organisation de la communauté et du comportement de l’ex-épouse (faillite, reprise des tâches ménagères, reprise d’une activité lucrative à 25% environ au lieu de 100% comme auparavant) [aurait] comme point d’origine l’atteinte à la santé du recourant » ne saurait être suivie. Cela étant, la situation de l’intéressé requiert néanmoins un examen détaillé de l’aide dont il bénéficie (cf. ci-après : consid. 12.3).</w:t>
      </w:r>
    </w:p>
    <w:p>
      <w:r>
        <w:t>A/3492/2021 - 17/21 -</w:t>
      </w:r>
    </w:p>
    <w:p>
      <w:r>
        <w:rPr>
          <w:b/>
        </w:rPr>
        <w:t>E. 11.3</w:t>
      </w:r>
    </w:p>
    <w:p>
      <w:r>
        <w:t>Dans un deuxième moyen, le recourant soutient que le temps supplémentaire consacré par son ex-épouse serait sous-évalué en tant que l’enquêtrice en a fixé la durée à 6h30 par semaine. Il ressort en substance du rapport correspondant du 23 juin 2021 que l’enquêtrice a distingué principalement la situation telle qu’elle se présentait avant 2017 (période lors de laquelle le recourant partageait le logement familial avec son ex- épouse et leur fille, âgée de 28 ans en 2016) et après 2017, lorsque le recourant ne faisait ménage commun qu’avec son ex-femme, leur fille ayant quitté la maison. Cette distinction chronologique n’affecte cependant pas le temps consacré à la lessive et au repassage qui est estimé à 2h par semaine et par personne, tout en sachant que la fille du couple pouvait elle-même entretenir son linge. Ces éléments n’étant pas contestés par le recourant, cela revient à admettre que son ex- épouse consacrait (et consacre) 2h par semaine à la lessive et au repassage des vêtements du recourant, avant comme après 2017. L’enquêtrice a estimé qu’avant 2017, pour une famille de trois personnes, l’entretien du ménage courant était d’une heure par jour, ce qui correspondait à 7h par semaine, tout en précisant que si l’ex-épouse devait vivre seule, elle devrait de toute manière entretenir son logement à raison d’environ 4h par semaine. Concernant le solde de 3h, l’enquêtrice a estimé que la fille du couple, adulte, pouvait prendre en charge le ménage de sa chambre et aider au ménage des parties communes à raison de 3h par semaine. S’agissant des repas, l’enquêtrice a estimé que pour une famille de trois personnes, la préparation de ceux-ci nécessitait en principe 2h par jour mais qu’au regard des habitudes du couple à l’époque où le recourant et son ex-épouse travaillaient tous deux (repas pris à l’extérieur à midi et repas principal pris le soir en famille), le temps de préparation des repas pouvait être ramené à 1h30 en semaine et 2h le week-end (ce qui correspond à une moyenne de 1h39, soit 33min par personne et par jour). S’agissant de la situation après 2017, l’enquêtrice a estimé que le temps dédié à la préparation des repas diminuait à 1h30 par jour mais qu’au vu de l’obligation de réduire le dommage, le recourant pouvait utiliser des repas surgelés ou tout préparés qu’il pouvait réchauffer, ce qui ramenait le temps de préparation des repas à 1h par jour et revenait à considérer que l’ex-épouse consacrait 3h30 par semaine à la préparation des repas de son mari après 2017 (soit 7 x 1h / 2). Le recourant conteste ce raisonnement en faisant valoir notamment qu’au vu de sa santé précaire, l’on ne saurait exiger de lui qu’il se nourrisse constamment de repas surgelés ou tout préparés, même si des exceptions pouvaient être consenties quelquefois. Il ajoute que dans la mesure où son ex-épouse doit cuisiner trois fois par jour (matin, midi, soir), que le temps retenu par l’enquêtrice est de 1h30 par jour pour deux personnes, soit 45min par personne, respectivement 30min par personne en cas de plat pré-cuisiné, il conviendrait de retenir une valeur médiane de 38min, ce qui porterait le total à 4h26 par semaine en lieu et place des 3h30 retenues. Par ailleurs, il ne serait pas correct de réduire le temps de préparation</w:t>
      </w:r>
    </w:p>
    <w:p>
      <w:r>
        <w:t>A/3492/2021 - 18/21 - des repas à 1h30 en tenant compte du mode de vie du couple avant la survenance de l’impotence ; il conviendrait de tenir compte de l’aide nécessitée par le recourant dans sa situation d’impotence. Comme l’enquêtrice déclarait que pour une famille de trois personnes, il devait être tenu compte d’une durée de 2h pour les repas (soit 120min), en faisant une règle de trois, l’on obtenait 80min pour deux personnes, soit 40min par jour, respectivement 4h40 par semaine, pour chacun des membres du couple, soit 4h40 par semaine pour la préparation des repas du recourant après 2017. La chambre de céans considère que ces arguments ne sont que partiellement pertinents. Il est exact qu’on ne saurait exiger du recourant qu’il s’alimente essentiellement de produits préfabriqués pour le four à micro-ondes (cf. arrêt du Tribunal fédéral 9C_330/2017 du 14 décembre 2017 consid. 4). Dès lors que ce principe n’a pas été pris en compte par l’enquêtrice, les propositions du recourant peuvent être suivies en tant qu’elles proposent une valeur médiane de 38min par personne et par repas, portant ainsi à 4h26 par semaine le temps consacré par l’ex-épouse à la préparation des repas de son mari. En revanche, on ne saurait suivre le recourant en tant qu’il propose « d’arrondir » les 38min par personne et par repas à 40min sur la base d’un raisonnement intégrant des données valables pour une famille de trois personnes et/ou omettant de prendre en compte le fait que le besoin d’aide pour l’acte « couper les aliments » a déjà été admis et ne saurait donc être pris en compte une seconde fois sous l’angle du besoin d’accompagnement (cf. ci-dessus : consid. 9.6). Concernant le ménage, le recourant conteste encore l’appréciation de l’enquêtrice selon laquelle le fait que l’ex-épouse partage l’appartement du recourant ne se traduirait que par 1h de ménage supplémentaire par semaine. Il soutient qu’en partant des données de l’enquêtrice, retenant que l’épouse consacrerait de toute manière 4h par semaine à la tenue de son ménage si elle habitait seule, il ne voit pas pourquoi cette durée ne serait pas doublée sur la base du postulat suivant : « deux personnes mettent deux fois plus de désordre et donc le temps pour ranger/nettoyer est également doublé ». Il ajoute que dans la mesure où la femme de ménage, engagée en 2020, met 3h par semaine pour s’occuper de l’appartement, soit 1h30 pour le recourant et 1h30 pour l’ex-épouse et qu’on ne peut pas prendre en compte 1h30 par jour puisque cela reviendrait à considérer que l’ex-épouse travaillerait aussi vite qu’une femme de ménage professionnelle, une durée minimale de 2h de ménage supplémentaire par semaine devrait être retenue. Ce raisonnement ne saurait être suivi dans la mesure où le prétendu doublement des heures de ménage de 4h à 8h ne tient déjà pas compte de la durée totale de 7h00 – qui n’est pas contestée – retenue par l’enquêtrice pour la tenue du ménage à l’époque où la fille du recourant partageait encore le logement familial avec ses parents et qu’il s’agissait donc d’une famille de trois personnes. Par ailleurs, l’enquêtrice motive le supplément d’1h par semaine dédié à l’entretien du</w:t>
      </w:r>
    </w:p>
    <w:p>
      <w:r>
        <w:t>A/3492/2021 - 19/21 - logement par le fait que depuis que la fille du recourant a quitté le domicile familial, l’appartement se salit moins et qu’il n’y a plus qu’un lit à faire. Indépendamment de ces arguments qui reviennent à évaluer modestement le supplément de temps induit par le recourant, la question de savoir si compte tenu de la durée que l’enquêtrice a arrêtée à 4h pour une personne vivant seule, respectivement 7h00 pour trois personnes partageant le même foyer, il n’y aurait pas lieu plutôt de fixer à 5h30 le temps nécessaire à la tenue d’un ménage de deux personnes – et donc arrêter à 1h30 le supplément de temps induit par le fait que l’ex-épouse partage sa vie avec le recourant – souffre de rester indécise. En effet, même revu à la hausse dans le sens des considérants qui précèdent, le temps que l’ex-épouse consacre à son mari au titre de l’entretien de son linge (2h), de la préparation de ses repas (4h26) et du ménage généré par sa présence (1h30, par hypothèse) représenterait un total de 7h56, soit 476min par semaine ou 68min par jour, ce qui resterait dans les limites fixées par l’arrêt 9C_446/2008 précité (cf. ci- dessus: consid. 12.2). On précisera enfin que même si l’enquête à domicile ne comporte qu’en partie des indications chiffrées sur la situation telle qu’elle se présentait avant 2017, il est possible, sur la base du raisonnement suivi par l’enquêtrice (pour après 2017), de fixer le supplément de temps hebdomadaire nécessité par le recourant à 2h pour l’entretien de son linge, à 3h51 pour la préparation de ses repas (soit 33min par personne et par jour, multiplié par 7) et à 1h30 pour le ménage (soit 7h00 pour un ménage de trois personnes, sous déduction d’un forfait de 4h00 pour une personne vivant seule, le solde de 3h00 étant réparti à parts égales entre les deux autres personnes), ce qui représente un total de 7h21 (soit 441min par semaine ou 63min par jour) qui se situe également dans les limites d’exigibilité de l’obligation de réduire le dommage, d’autant que la fille du couple déchargeait sa mère d’une partie des tâches.</w:t>
      </w:r>
    </w:p>
    <w:p>
      <w:r>
        <w:rPr>
          <w:b/>
        </w:rPr>
        <w:t>E. 11.4</w:t>
      </w:r>
    </w:p>
    <w:p>
      <w:r>
        <w:t>Dans un ultime moyen, le recourant soutient qu’un temps supérieur à 6h30 devrait en tout état de cause être retenu dans le rapport d’enquête puisqu’il n’inclurait pas le temps nécessaire pour tenir compte du risque de chutes, lequel s’élèverait à tout le moins à 4h par jour, soit 28h par semaine. Ce raisonnement ne saurait être suivi pour les motifs qui suivent : en l’occurrence, dans son arrêt 9C_567/2019 du 23 décembre 2019, annulant l’arrêt du 3 juillet 2019 (ATAS/635/2019) de la chambre de céans, le Tribunal fédéral a admis le recours uniquement en tant que l’arrêt cantonal attaqué niait un besoin d’accompagnement pour faire face aux nécessités de la vie, sans que des mesures d’instruction aient déterminé au préalable quelle était l’organisation familiale, notamment la répartition des tâches ménagères dans le couple. En revanche, le Tribunal fédéral a considéré que c’était à juste titre que l’arrêt ATAS/635/2019 avait nié un besoin de surveillance personnelle permanente, tout en précisant que des chutes et le besoin corrélatif d’aide pour se relever fondaient en principe un besoin de surveillance d’ordre général qui ne pouvait pas être assimilé à la surveillance personnelle permanente prévue par l’art. 37 al. 2 let. b RAI. Le</w:t>
      </w:r>
    </w:p>
    <w:p>
      <w:r>
        <w:t>A/3492/2021 - 20/21 - Tribunal fédéral a ajouté qu’en tant que le rapport du 1er février 2019 du Dr D______ mentionnait une péjoration de l’état de santé de son patient quant à l’autonomie et à la marche à l’intérieur et à l’extérieur de l’appartement, son rapport établi en février 2019 reflétait la situation médicale au moment de la consultation du 31 janvier 2019, postérieure à la décision de l’OAI du 30 octobre 2018, de sorte que cette situation ne devait pas être prise en compte dans le cadre du « présent litige » mais pouvait justifier une demande de révision. Bien qu’en l’espèce, une telle demande de révision (cf. art. 87 al. 2 du règlement sur l’assurance-invalidité du 17 janvier 1961 – RAI ; RS 831.201) n’ait pas été formée, la chambre de céans n’en reste pas moins tenue d’examiner l’état de fait tel qu’il se présentait au moment de la décision litigieuse du 13 septembre 2021 (cf. ATF 121 V 366 consid. 1b), ce qui inclut par conséquent le rapport précité du Dr D______. Or, il ne découle pas de ce rapport en quoi l’évolution de l’état de santé du recourant relatée par ce médecin se traduirait par un risque de chute plus important que celui déjà constaté par le Dr B______ en son temps. Il ressort au contraire des propos recueillis lors de l’enquête à domicile du 7 juin 2021 « qu’il est vrai qu’il lui arrive de chuter, toutefois, cette situation ne se présente pas de manière régulière » (cf. le ch. 4.2.2 du rapport d’enquête). Cette situation est en définitive superposable aux propos du recourant tels qu’ils ont été transcrits dans le rapport du 18 juin 2018 : « Il est vrai qu’il lui arrive de chuter, toutefois, cette situation ne se présente pas de manière régulière » (cf. dossier AI, doc. 192, p. 550). Par ailleurs, le recourant omet de prendre en considération le fait que si un besoin de surveillance d’ordre général était retenu pour prévenir le risque de chutes, le temps nécessaire à cet effet pourrait être pris en compte – d’abord, voire exclusivement – sous la rubrique « se déplacer » de l’enquête à domicile (cf. arrêt du Tribunal fédéral 9C_135/2014 du 14 mai 2014 consid. 4.3.1, arrêt du Tribunal fédéral 9C_688/2014 du 1er juin 2015 consid. 3.6 et arrêt du Tribunal fédéral H 148/06 du 7 août 2007 consid. 5.2 ; cf. ég. ci-dessus : consid. 9.6). Or, sous le ch. 4.1.6, l’enquête à domicile du 7 juin 2021 nie précisément un besoin d’aide régulière et importante pour l’acte ordinaire « se déplacer » en renvoyant à la précédente enquête du 25 avril 2016, point qui n’est pas contesté par le recourant et n’a pas fait l’objet non plus d’une demande de révision.</w:t>
      </w:r>
    </w:p>
    <w:p>
      <w:r>
        <w:rPr>
          <w:b/>
        </w:rPr>
        <w:t>E. 12</w:t>
      </w:r>
    </w:p>
    <w:p>
      <w:r>
        <w:t>Au vu des considérations qui précèdent, la décision querellée est bien fondée et le recours doit par conséquent être rejeté.</w:t>
      </w:r>
    </w:p>
    <w:p>
      <w:r>
        <w:rPr>
          <w:b/>
        </w:rPr>
        <w:t>E. 13</w:t>
      </w:r>
    </w:p>
    <w:p>
      <w:r>
        <w:t>Un émolument de CHF 200.- sera mis à la charge du recourant, qui n’obtient pas gain de cause (art. 69 al. 1bis LAI). *****</w:t>
      </w:r>
    </w:p>
    <w:p>
      <w:r>
        <w:t>A/3492/2021 - 21/21 -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