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ATAS/342/2015 vom 7. Mai 2015</w:t>
      </w:r>
    </w:p>
    <w:p>
      <w:r>
        <w:t>GE Cour de justice, 2015-05-07, FR</w:t>
      </w:r>
    </w:p>
    <w:p>
      <w:r>
        <w:rPr>
          <w:b/>
        </w:rPr>
        <w:t xml:space="preserve">Quelle: </w:t>
      </w:r>
      <w:r>
        <w:t>https://mcp.opencaselaw.ch/entscheid/ge_gerichte_ATAS_342_2015</w:t>
      </w:r>
    </w:p>
    <w:p>
      <w:r>
        <w:t>FR: GE_GERICHTE ATAS/342/2015 du 7 mai 2015</w:t>
      </w:r>
    </w:p>
    <w:p>
      <w:r>
        <w:t>IT: GE_GERICHTE ATAS/342/2015 del 7 maggio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devant la juridiction compétente, le recours est recevable (cf. art. 60 LPGA).</w:t>
      </w:r>
    </w:p>
    <w:p>
      <w:r>
        <w:rPr>
          <w:b/>
        </w:rPr>
        <w:t>E. 3</w:t>
      </w:r>
    </w:p>
    <w:p>
      <w:r>
        <w:t>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w:t>
      </w:r>
    </w:p>
    <w:p>
      <w:r>
        <w:rPr>
          <w:b/>
        </w:rPr>
        <w:t>E. 4</w:t>
      </w:r>
    </w:p>
    <w:p>
      <w:r>
        <w:t>L’art. 7 al. 1 LAMal prévoit que l’assuré qui souhaite changer d’assureur doit l’annoncer avec un préavis de trois mois pour la fin d’un semestre d’une année civile. En l’espèce, il est constant que la recourante, domiciliée en Suisse, est soumise à l’assurance obligatoire conformément à l’art. 3 al. 1 LAMal. Par courrier du 5 octobre 2012, elle a certes informé l’intimée de son intention de résilier son assurance. Toutefois, ce préavis est intervenu tardivement, puisqu’il aurait dû parvenir à l’intimée au moins trois mois avant la fin de l’année civile, soit avant le 30 septembre 2012. Au surplus, l’art. 7 al. 5 LAMal prévoit que l’affiliation auprès de l’ancien assureur ne prend fin que lorsque le nouvel assureur lui a communiqué qu’il assure l’intéressé sans interruption de la protection d’assurance. Or, en l’espèce, jamais le nouvel assureur n’a confirmé à l’intimée la nouvelle affiliation de l’assurée. Aucune attestation d’affiliation à un autre assureur n’est parvenue à l’intimée.</w:t>
      </w:r>
    </w:p>
    <w:p>
      <w:r>
        <w:t>A/1900/2014 - 6/7 - Eu égard à ces éléments, c’est à juste titre que l’intimée a considéré que la recourante lui était restée affiliée au-delà du 31 décembre 2012, ce que l’intéressée a d’ailleurs reconnu en payant certaines primes relatives à l’année 2013 et, expressément, dans son courrier du 27 juin 2013. Il est ainsi à la limite de la témérité de venir à présent à nouveau soutenir qu’elle est affiliée ailleurs alors même qu’elle a admis que sa nouvelle assurance lui avait remboursé les primes versées pour l’année 2013.</w:t>
      </w:r>
    </w:p>
    <w:p>
      <w:r>
        <w:rPr>
          <w:b/>
        </w:rPr>
        <w:t>E. 5</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6</w:t>
      </w:r>
    </w:p>
    <w:p>
      <w:r>
        <w:t>En l’espèce, la caisse était incontestablement en droit de poursuivre la recourante pour le montant des primes impayées dont la recourante n’a pu produire la preuve qu’elle s’en serait effectivement acquittée. S’agissant des frais de rappel et de mise en demeure, il suffira de confirmer qu’ainsi que l’a expliqué l’intimée,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17.1 des conditions générales de l’assurance obligatoire des soins et de l’assurance facultative d’indemnités journalières au sens de la LAMal de l’intimée). Quant à l’intérêt, de 5% par année, il ressort de l’art. 26 al. 2 LPGA. Par ailleurs, l’art. 68 al. 1 de la loi fédérale du 11 avril 1889 sur la poursuite pour dettes et la faillite (LP) prévoit expressément que les frais de poursuite sont à la charge du débiteur, même si le créancier en fait l’avance. Eu égard aux considérations qui précèdent, le recours est rejeté, étant précisé que la Cour statuera par décision séparée sur la demande d’indemnisation déposée par l’assurée.</w:t>
      </w:r>
    </w:p>
    <w:p>
      <w:r>
        <w:t>A/1900/2014 - 7/7 -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