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ATAS/342/2013 vom 12. April 2013</w:t>
      </w:r>
    </w:p>
    <w:p>
      <w:r>
        <w:t>GE Cour de justice, 2013-04-12, FR</w:t>
      </w:r>
    </w:p>
    <w:p>
      <w:r>
        <w:rPr>
          <w:b/>
        </w:rPr>
        <w:t xml:space="preserve">Quelle: </w:t>
      </w:r>
      <w:r>
        <w:t>https://mcp.opencaselaw.ch/entscheid/ge_gerichte_ATAS_342_2013</w:t>
      </w:r>
    </w:p>
    <w:p>
      <w:r>
        <w:t>FR: GE_GERICHTE ATAS/342/2013 du 12 avril 2013</w:t>
      </w:r>
    </w:p>
    <w:p>
      <w:r>
        <w:t>IT: GE_GERICHTE ATAS/342/2013 del 12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l’assurance-accidents. Selon l’art. 56 al. 1er LPGA, les décisions sur opposition sont sujettes à recours dans un délai de 30 jours (art. 60 al. 1er LPGA) auprès du tribunal des assurances du canton de domicile de l’assuré (art. 58 al. 1er LPGA). En l’espèce, le recours interjeté le 28 avril 2008 contre la décision sur opposition de l’intimée du 12 mars 2008, reçue le 14 mars 2008 a été déposé, en considérant la suspension du délai du 7ème jour avant Pâques au 7ème jour après Pâques, dans le délai de 30 jours. Respectant par ailleurs les règles de forme imposées par la loi, le recours est recevable.</w:t>
      </w:r>
    </w:p>
    <w:p>
      <w:r>
        <w:rPr>
          <w:b/>
        </w:rPr>
        <w:t>E. 3</w:t>
      </w:r>
    </w:p>
    <w:p>
      <w:r>
        <w:t>Selon l’art. 6 al. 1 LAA, les prestations d’assurance sont allouées en cas d’accident professionnel, d’accident non professionnel et de maladie professionnelle. La définition de l’accident, reprise aujourd’hui par l’art. 4 LPGA, figurait à l’art. 9 al. 1 de l’ordonnance sur l’assurance-accidents du 20 décembre 1982 (ci-après : OLAA) qui disposait que par accident, on entend toute atteinte dommageable, soudaine et involontaire, portée au corps humain par une cause extérieure extraordinaire. L’art. 37 al. 1 LAA précise que si l’assuré a provoqué intentionnellement l’atteinte à la santé ou le décès, aucune prestation d’assurance n’est allouée, sauf l’indemnité pour frais funéraires. Par ailleurs,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(art. 48 LAA).</w:t>
      </w:r>
    </w:p>
    <w:p>
      <w:r>
        <w:t>A/1508/2008 - 11 -</w:t>
      </w:r>
    </w:p>
    <w:p>
      <w:r>
        <w:rPr>
          <w:b/>
        </w:rPr>
        <w:t>E. 4</w:t>
      </w:r>
    </w:p>
    <w:p>
      <w:r>
        <w:t>En l’espèce, il est établi, et nul ne le conteste, que Monsieur O__________ s’est donné la mort. Le litige porte sur la question de savoir s’il était dans un état d’incapacité totale de discernement au moment de l’acte fatal, en raison notamment de la prise de la Paroxétine.</w:t>
      </w:r>
    </w:p>
    <w:p>
      <w:r>
        <w:rPr>
          <w:b/>
        </w:rPr>
        <w:t>E. 5</w:t>
      </w:r>
    </w:p>
    <w:p>
      <w:r>
        <w:t>Selon la jurisprudence (ATFA non publié du 9 décembre 2003 en la cause U 328/02), celui qui prétend à des prestations d'assurance doit apporter la preuve de l'existence d'un accident, donc aussi la preuve du caractère involontaire de l'atteinte et, en cas de suicide, la preuve de l'incapacité de discernement au moment de l'acte au sens de l'art. 16 CC (arrêt A. du 19 juin 1998 [U 182/96], in SVZ/RSA 68/2000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(RAMA 1996 no U 247 p. 172 consid. 2b et les références). Lorsque les indices parlant en faveur d'un suicide ne sont pas suffisamment convaincants pour renverser objectivement la présomption qu'il s'est agi d'un accident, c'est à l'assureur-accidents d'en supporter les conséquences (ATFA du 19 juin 1998 en la cause U 182/96, in SVZ/RSA 68/2000 p. 201).</w:t>
      </w:r>
    </w:p>
    <w:p>
      <w:r>
        <w:rPr>
          <w:b/>
        </w:rPr>
        <w:t>E. 6</w:t>
      </w:r>
    </w:p>
    <w:p>
      <w:r>
        <w:t>Il convient d'examiner si l’événement du 17 mars 2006 est dû à un accident, ou un suicide.</w:t>
      </w:r>
    </w:p>
    <w:p>
      <w:r>
        <w:rPr>
          <w:b/>
        </w:rPr>
        <w:t>E. 7</w:t>
      </w:r>
    </w:p>
    <w:p>
      <w:r>
        <w:t>La Cour de céans remarque en préambule que s’il existe un doute quant à la question de savoir s’il s’agit d’un accident ou d’un suicide, ce doute peut être qualifié de faible en l’espèce. En effet, les éléments mentionnés par la recourante qui constitueraient des indices d’un accident ne peuvent être suffisamment étayés à la lecture de l’entier du dossier. Ces éléments qui sont notamment tirés isolément de la déclaration du Dr A__________ qui relevait que Monsieur O__________ n’avait pas d’idées suicidaires ou du Dr</w:t>
      </w:r>
    </w:p>
    <w:p>
      <w:r>
        <w:t>A/1508/2008 - 12 - B__________ qui n’a pu constater de tendance suicidaire ou encore de l’avis du Dr E__________ qui fait notamment état du fait que la Paroxétine peut être la cause de suicidalité ainsi que les publications à ce sujet qui font état de possibilité de suicide, ne constituent que des pistes évoquées et des hypothèses. En revanche, le rapport de police, le rapport d’entretien du 3 septembre 2008, établi par la Dresse D__________ qui a entendu la recourante, apporte un éclairage utile à l’appréciation du litige Les constatations de la police judiciaire, telles qu’elles découlent du rapport de levée de corps, effectuées peu après le drame, font état d’un suicide.</w:t>
      </w:r>
    </w:p>
    <w:p>
      <w:r>
        <w:rPr>
          <w:b/>
        </w:rPr>
        <w:t>E. 8</w:t>
      </w:r>
    </w:p>
    <w:p>
      <w:r>
        <w:t>Dans un arrêt du 20 mars 2006, (I 31/05) le Tribunal fédéral a rappelé que « Selon l’art. 61 let. c LPGA, le tribunal établit avec la collaboration des parties les faits déterminants pour la solution du litige ; il administre les preuves nécessaires et les apprécie librement. ( …)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considérer comme une hypothèse possible. Parmi tous les éléments de fait allégués ou envisageables, le juge doit, le cas échéant, retenir ceux qui lui paraissent les plus probables (ATF 126 V 360 consid. 5b, 125 V 195 consid. 2 et les références ; cf ATF 130 III 324 s. consid. 3.2 et.3.3).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(en matière d’assurances sociales, voir les art. 69 LAI et 85 al. 2 let. c LAVS, tels qu’en vigueur jusqu’au 31 décembre 2002 ; depuis le 1er janvier 2003, cf art. 61 let. c LPGA ; pour la procédure devant le Tribunal fédéral des assurances, cf. art. 95 al. 2, 113 et 132 OJ), le juge n’est pas lié par des règles formelles, mais doit examiner de manière objective tous les moyens de preuve, quelle qu’en soit la provenance, puis décider si les documents à disposition</w:t>
      </w:r>
    </w:p>
    <w:p>
      <w:r>
        <w:t>A/1508/2008 - 13 - permettent de porter un jugement valable sur le droit litigieux (arrêt T. du 21 juillet 2005[I 727/02]).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Une telle manière de procéder ne viole pas le droit d’être entendu selon l’art. 29 al. 2 Cst. (SVR 2001 IV no 10 p. 28 consid. 4b) la jurisprudence rendue sous l’empire de l’art. 4 aCst étant toujours valable (ATF 124 V 94 consid. 4b, 122 V 162 consid. 1d et l’arrêt cité). »</w:t>
      </w:r>
    </w:p>
    <w:p>
      <w:r>
        <w:rPr>
          <w:b/>
        </w:rPr>
        <w:t>E. 9</w:t>
      </w:r>
    </w:p>
    <w:p>
      <w:r>
        <w:t>Selon la jurisprudence répétée du Tribunal fédéral des assurances (ATFA non publié du 18 juillet 2002 en la cause U 28/01)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la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(ATFA non publié du 25 octobre 1996 en la cause U 160/95 ; ATFA non publié du 22 mai 1996 en la cause U 223/94 ; RSA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(ATFA non publié du 9 décembre 2003 en la cause U 328/02 ; RAMA 1996 no U 267 p. 311).</w:t>
      </w:r>
    </w:p>
    <w:p>
      <w:r>
        <w:rPr>
          <w:b/>
        </w:rPr>
        <w:t>E. 10</w:t>
      </w:r>
    </w:p>
    <w:p>
      <w:r>
        <w:t>Selon le principe de la libre appréciation des preuves, le juge apprécie librement les preuves médicales qu'il a recueillies, sans être lié par des règles formelles, en procédant à</w:t>
      </w:r>
    </w:p>
    <w:p>
      <w:r>
        <w:t>A/1508/2008 - 14 -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w:t>
      </w:r>
    </w:p>
    <w:p>
      <w:r>
        <w:rPr>
          <w:b/>
        </w:rPr>
        <w:t>E. 11</w:t>
      </w:r>
    </w:p>
    <w:p>
      <w:r>
        <w:t>Au sujet de la valeur probante d’un rapport médical, le Tribunal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12</w:t>
      </w:r>
    </w:p>
    <w:p>
      <w:r>
        <w:t>Le juge peut ainsi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 de mettre en cause leur bien-fondé ou de douter de l’objectivité des appréciations portées. (U25/05).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w:t>
      </w:r>
    </w:p>
    <w:p>
      <w:r>
        <w:rPr>
          <w:b/>
        </w:rPr>
        <w:t>E. 13</w:t>
      </w:r>
    </w:p>
    <w:p>
      <w:r>
        <w:t>En ce qui concerne les rapports établis par les médecins traitants, le juge peut et doit tenir compte du fait que, selon l'expérience, le médecin traitant est généralement enclin, en cas</w:t>
      </w:r>
    </w:p>
    <w:p>
      <w:r>
        <w:t>A/1508/2008 - 15 - de doute, à prendre parti pour son patient en raison de la relation de confiance qui l'unit à ce dernier (ATF 125 V 351 consid. 3b/bb et cc).</w:t>
      </w:r>
    </w:p>
    <w:p>
      <w:r>
        <w:rPr>
          <w:b/>
        </w:rPr>
        <w:t>E. 14</w:t>
      </w:r>
    </w:p>
    <w:p>
      <w:r>
        <w:t>Il sied de rappeler que, au sujet des précautions à observer lors de la prise de Paroxétine- Mepha, le Compendium Suisse des Médicaments relève, notamment, que dans des études cliniques, des informations ont été obtenues et suggèrent qu’un risque plus élevé de comportements suicidaires (y compris tentatives de suicide) existerait chez les jeunes adultes, en particulier ceux qui souffrant d’une dépression, sous traitement avec Paroxétine-Mepha. La plupart des tentatives de suicide dans les études cliniques sur la dépression concernaient des patients âgés de 18 à 30 ans.</w:t>
      </w:r>
    </w:p>
    <w:p>
      <w:r>
        <w:rPr>
          <w:b/>
        </w:rPr>
        <w:t>E. 15</w:t>
      </w:r>
    </w:p>
    <w:p>
      <w:r>
        <w:t>En l’occurrence, le rapport du Dr B__________ relève, dans les réponses aux questions de la SUVA du 30 juillet 2007 que Monsieur O__________ souffrait d’un état dépressif majeur et que, en 2004, la prise de la Paroxétine avait été bien tolérée. Pour sa part, Le Dr A__________ note, le 16 mars 2006, en particulier une récidive depuis une semaine de l’anxiété de Monsieur O__________ et, d’accord avec ce dernier, lui prescrit du Déroxat-Paroxétine 20 mg/jour. Dans son rapport à la SUVA du 17 septembre 2007, le Dr A__________ relève comme diagnostic : état anxieux et état dépressif, et indique, en 2004, un épisode dépressif similaire avec un traitement de Déroxat. Considérant le fait que Monsieur O__________ avait déjà été soigné de façon satisfaisante avec la Paroxétine, la Cour retiendra que ce médicament ne pouvait pas altérer le comportement de Monsieur O__________ au point de lui ôter toute capacité de discernement. Enfin les affirmations péremptoires du Dr E__________ selon lesquelles « il n’y a aucun doute que la mort de M. O__________ a été causée par la prise de Paroxétine » ne seront également pas retenues puisque, d’une part, ce même médecin précise qu’il s’agit de complication rare mais existante et que, d’autre part, Monsieur O__________ avait déjà pris ce médicament en 2004 et qu’il avait eu une très bonne réponse au traitement antidépresseur, conformément aux indications du Dr B__________.</w:t>
      </w:r>
    </w:p>
    <w:p>
      <w:r>
        <w:rPr>
          <w:b/>
        </w:rPr>
        <w:t>E. 16</w:t>
      </w:r>
    </w:p>
    <w:p>
      <w:r>
        <w:t>De son côté, dans son rapport du 31 octobre 2009, le Dr F__________ indique notamment qu’il est clair que le suicide est un risque établi du traitement avec la Paroxétine. Ce risque est mentionné dans le résumé officiel des caractéristiques des produits distribué aux médecins. Un facteur important est l’élément temporel entre le suicide et la prise de médicament. Le Dr F__________ concluait son rapport en relevant que le dosage de l’élément temporel de la prise des médicaments par M. O__________ rendent hautement probable (plus de 80% de probabilité) que la Paroxétine combinée au Bromazepam ont causé son suicide commis dans un état d’angoisse et de panique soudaine et incontrôlable. Ses préoccupations dues à des problèmes personnels et professionnels pourraient y avoir contribué, mais elle ont à mon avis joué un rôle mineur. »</w:t>
      </w:r>
    </w:p>
    <w:p>
      <w:r>
        <w:rPr>
          <w:b/>
        </w:rPr>
        <w:t>E. 17</w:t>
      </w:r>
    </w:p>
    <w:p>
      <w:r>
        <w:t>En revanche, la Dresse D__________ mentionne qu’il ne ressort ni de l’étude du dossier, ni de l’entretien avec la veuve de l’assuré que celui-ci ait été atteint d’une maladie</w:t>
      </w:r>
    </w:p>
    <w:p>
      <w:r>
        <w:t>A/1508/2008 - 16 - psychotique sévère d’une intensité telle qu’elle ait conduit à une abolition totale du jugement. Au moment de l’évènement du 17.3.2008 [2006], un traitement médicamenteux avait été débuté par le médecin de famille avec un ISRS (Paroxétine) et un tranquillisant (Bromazépam) en raison d’une maladie dépressive. Etant donné qu’à une phase antérieure du traitement, cet antidépresseur avait été bien toléré et avait conduit à une rémission de la maladie, il est peu vraisemblable que ce même médicament ait favorisé un acte suicidaire. Selon la Dresse D__________, les conclusions sont pleinement corroborées par les circonstances objectives et subjectives entourant le geste désespéré du 17 mars 2006. L’acte considéré n’apparaît pas comme résultant d’une pulsion totalement irrationnelle et incontrôlable, ce que le rapport d’appréciation exprime parfaitement.</w:t>
      </w:r>
    </w:p>
    <w:p>
      <w:r>
        <w:rPr>
          <w:b/>
        </w:rPr>
        <w:t>E. 18</w:t>
      </w:r>
    </w:p>
    <w:p>
      <w:r>
        <w:t>En l'espèce, considérant, comme le relève le TF dans son arrêt du 8 janvier 2013 au sujet du contenu des rapports de la dresse D__________ et du Dr. F__________, il n’est pas possible de départager les évaluations contradictoires des deux médecins. Dans son appréciation, le Dr F__________ met en doute celle de la Dresse D__________ en relevant que cette dernière a nié l’effet négatif de la médication sans prendre en considération l’agitation psychomotrice (soudaine et extraordinaire) que pouvait causer la Paroxétine (associée à un tranquillisant) et en se référant à une étude médicale que le Dr F__________ considérait comme non pertinente pour se prononcer sur le décès de l’assuré.</w:t>
      </w:r>
    </w:p>
    <w:p>
      <w:r>
        <w:rPr>
          <w:b/>
        </w:rPr>
        <w:t>E. 19</w:t>
      </w:r>
    </w:p>
    <w:p>
      <w:r>
        <w:t>Par conséquent, vu les considérants ci-dessus, il y a lieu d'ordonner une expertise judiciaire. En application des articles 38 et suivants de la loi sur la procédure administrative (LPA), les parties ont pu se déterminer sur la nomination de l’expert et sur le contenu de la mission d’expertise.</w:t>
      </w:r>
    </w:p>
    <w:p>
      <w:r>
        <w:rPr>
          <w:b/>
        </w:rPr>
        <w:t>E. 20</w:t>
      </w:r>
    </w:p>
    <w:p>
      <w:r>
        <w:t>Considérant les courriers des 22 février et 2 avril 2013 de l’intimée et du 18 mars 2013 de la recourante, la Cour de céans a pris note de l’accord des parties sur la désignation de l’expert, en la personne du Prof. H__________, et sur la mission d’expertise.</w:t>
      </w:r>
    </w:p>
    <w:p>
      <w:r>
        <w:t>A/1508/2008 - 17 - PAR CES MOTIFS, LA CHAMBRE DES ASSURANCES SOCIALES : Statuant préparatoirement 1. Ordonne une expertise médicale spécialisée en pharmacologie du dossier de Monsieur O__________. 2. La confie au Prof. H__________, spécialiste FMH en médecine interne et en pharmacologie. 3. Dit que sa mission sera la suivante :</w:t>
      </w:r>
    </w:p>
    <w:p>
      <w:r>
        <w:t>a) Prendre connaissance de l'intégralité du dossier médical de Monsieur O__________.</w:t>
      </w:r>
    </w:p>
    <w:p>
      <w:r>
        <w:t>b) Prendre, si nécessaire, tous renseignements auprès des médecins ayant traité Monsieur O__________.</w:t>
      </w:r>
    </w:p>
    <w:p>
      <w:r>
        <w:t>c) Cela fait, établir un rapport détaillé sur la base du dossier médical de Monsieur O__________ et répondre aux questions suivantes : 1. Anamnèse 2. Données subjectives. 3. Constatations objectives. 4. Appréciation du cas. 5. Réponse aux questions spécifiques suivantes : a. L’absorption de la Paroxétine combinée à des tranquillisants peut-elle provoquer un état d’incapacité de discernement, privant le patient de toute possibilité de se déterminer raisonnablement ? b. Les troubles psychiques diagnostiqués ont-ils été exacerbés par la prise de la Paroxétine, combinée avec des tranquillisants ? c. Au vu du dosage et du déroulement temporel de la prise de médicament par l’assuré, était-il hautement probable que la Paroxétine combinée au tranquillisant cause le suicide commis dans un état d’angoisse et de panique soudaine et incontrôlable ? d. Est-il probable ou improbable que la médication ait un effet défavorable dans le sens d’un état d’anxiété ou d’excitation massif dans le cadre duquel le suicide s’est produit ?</w:t>
      </w:r>
    </w:p>
    <w:p>
      <w:r>
        <w:t>A/1508/2008 - 18 - e. Considérant l’agitation psychomotrice (soudaine et extraordinaire) la Paroxétine (associée à un tranquillisant) pouvait-elle avoir un effet négatif aboutissant au suicide de l’assuré ? f. Selon votre expérience, avez-vous connaissance de cas analogues de suicide après la prise de la Paroxétine associée à un tranquillisant ? g. Le fait que Monsieur O__________ avait bien toléré, en 2004, un traitement surveillé de Paroxétine, durant trois mois, signifie-t-il que l’absorption de la Paroxétine, en 2006, associée à une médication décontractante et tranquillisante, ne peut être à l’origine d’une incapacité de discernement et d’une abolition totale de jugement ? 6. Si vous vous éloignez des conclusions du Dr D__________ ou de celles du Dr F__________, donnez-en les raisons. 7. Remarques et commentaires de l'expert. 8. Invite l’expert à déposer son rapport, en deux exemplaires, au greffe de la Cour de céans, dans les meilleurs délais 4. Réserve le fond. 5. Informe les parties de ce qu’elles peuvent former recours contre la présente ordonnance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La greffière</w:t>
      </w:r>
    </w:p>
    <w:p>
      <w:r>
        <w:t>Florence SCHMUTZ</w:t>
      </w:r>
    </w:p>
    <w:p>
      <w:r>
        <w:t>Le président suppléant</w:t>
      </w:r>
    </w:p>
    <w:p>
      <w:r>
        <w:t>Georges ZUFFEREY</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