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ATAS/341/2023 vom 17. Mai 2023</w:t>
      </w:r>
    </w:p>
    <w:p>
      <w:r>
        <w:t>GE Cour de justice, 2023-05-17, FR</w:t>
      </w:r>
    </w:p>
    <w:p>
      <w:r>
        <w:rPr>
          <w:b/>
        </w:rPr>
        <w:t xml:space="preserve">Quelle: </w:t>
      </w:r>
      <w:r>
        <w:t>https://mcp.opencaselaw.ch/entscheid/ge_gerichte_ATAS_341_2023</w:t>
      </w:r>
    </w:p>
    <w:p>
      <w:r>
        <w:t>FR: GE_GERICHTE ATAS/341/2023 du 17 mai 2023</w:t>
      </w:r>
    </w:p>
    <w:p>
      <w:r>
        <w:t>IT: GE_GERICHTE ATAS/341/2023 del 17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ainsi que celles du</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3.2</w:t>
      </w:r>
    </w:p>
    <w:p>
      <w:r>
        <w:t>et les références ; ATF 125 V 256 consid. 4 et les références). En outre, les données médicales constituent un élément utile pour déterminer quels travaux on peut encore, raisonnablement, exiger de l’assuré (ATF 125 V 256 consid. 4 et les références).</w:t>
      </w:r>
    </w:p>
    <w:p>
      <w:r>
        <w:rPr>
          <w:b/>
        </w:rPr>
        <w:t>E. 4</w:t>
      </w:r>
    </w:p>
    <w:p>
      <w:r>
        <w:t>Est litigieuse en l'occurrence le droit de la recourante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w:t>
      </w:r>
    </w:p>
    <w:p>
      <w:r>
        <w:t>A/1371/2021 - 9/12 - l’assuré a fait valoir son droit aux prestations conformément à l’art. 29 al. 1 LPGA. Selon l’art. 29 al. 3 LAI, la rente est versée dès le début du mois au cours duquel le droit prend naissance.</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ne s'écarte pas sans motifs impératifs des conclusions d'une expertise médicale judiciaire, la tâche de l'expert étant précisément de mettre ses</w:t>
      </w:r>
    </w:p>
    <w:p>
      <w:r>
        <w:t>A/1371/2021 - 10/12 -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9</w:t>
      </w:r>
    </w:p>
    <w:p>
      <w:r>
        <w:t>En l’espèce, la recourante a fait l’objet d’une expertise judiciaire. Dans les constatations objectives, l’expert relève que la recourante se montre coopérante et parle un français qui est suffisant pour des échanges simples. Toutefois, l’expertise a eu lieu à l’aide d’une interprète. L’habillement est correct et l’hygiène personnelle paraît conservée. Au plan subjectif, il existe un fond de préoccupations soucieuses centrées surtout sur la crainte d’être renvoyée dans son pays d’origine. Ses préoccupations entraînent des insomnies et des cauchemars, ainsi qu'un certain degré d’évitement des figures masculines lui rappelant son ex-compagnon. Lorsque la perspective d’être renvoyée en Bulgarie devient plus tangible, l’anxiété prend parfois un caractère aigu avec tachycardie, poids sur la poitrine et parfois dissociation sous la forme de déréalisation momentanée. Toutefois, l’expert judiciaire ne relève pas de signes objectifs d’anxiété. Il n’est par ailleurs pas en mesure d’apprécier si les craintes de la recourante d’être agressée par son ex-compagnon en cas de retour en Bulgarie sont fondées. Dans l’affirmative, il s’agit plutôt d’une peur légitime que d’une anxiété au sens pathologique. Néanmoins, l’expert admet une part d’anxiété au sens maladif. La recourante semble par ailleurs sincère dans ses déclarations, de sorte qu’il paraît plausible à l’expert que la recourante ait été exposée aux violences répétées de son ex-compagnon. Elle relate la présence de souvenirs récurrents de violences subies. Il n’y a cependant pas de véritables flashbacks, ni évitement comportemental limité, ni évitement cognitif. L’hypervigilance et l’émoussement émotionnel allégués sont subjectifs et n’atteignent pas le degré objectivable. Les critères diagnostiques pour admettre un état de stress post-traumatique cliniquement significatif ne sont dès lors pas remplis. Il n'est toutefois pas exclu que la recourante ait pu présenter dans le passé les symptômes d’un état de stress post-traumatique et que celui-ci se soit amendé avec le temps. L’humeur est fluctuante, plus souvent abaissée que normale, avec une vision de soi négative et la survenue récurrente d’idées suicidaires. Il y a également un manque d’appétit et d’attention. Toutefois, objectivement, il n’y a pas de signes de tristesse durable, celle-ci n’apparaissant qu’au moment de l’évocation de</w:t>
      </w:r>
    </w:p>
    <w:p>
      <w:r>
        <w:t>A/1371/2021 - 11/12 - soucis concernant ses enfants. Il n’y a pas de fatigabilité visible ou de signes objectifs de baisse de l’énergie. Au niveau de l’habillement et de l’hygiène corporelle, il n’y a aucune négligence et la culpabilité n’atteint pas le seuil de l’irrationnel. Cela étant, l’état thymique ne justifie pas le diagnostic d’épisode dépressif. Tout au plus, les manifestations anxieuses et dépressives correspondent à un trouble anxieux et dépressif mixte, ce qui n’exclut pas que les symptômes dépressifs aient atteint le degré d’un véritable épisode dépressif dans le passé. Par ailleurs, l’absence d’effet thérapeutique des antidépresseurs plaide contre la présence d’un véritable épisode dépressif, de même l’absence de rechute après que la recourante ait arrêté l’antidépresseur depuis plusieurs mois. Toutefois, la recourante est probablement devenue dépendante du tranquillisant Clorazépam. La présence d'un trouble de la personnalité émotionnellement labile type borderline est possible, mais non probable. Les atteintes diagnostiquées n’entraînent pas de diminution de la capacité de travail dans une activité adaptée aux compétences et au niveau de français de la recourante. Dans le pronostic, l’expert relève que des facteurs extra-médicaux, notamment socio-culturels, ont une influence sur la dimension strictement médicale de l’état psychique de l’expertisée. Certes, le passé de la recourante était difficile et probablement traumatique ; elle a dépendu des autres, notamment de sa mère en Bulgarie, de l’aide sociale et du milieu soignant en Suisse. Néanmoins, le tableau clinique actuel est compatible avec un retour dans la vie active à plein temps. Il n’y a pas d’indication de mesures de réadaptation professionnelle.</w:t>
      </w:r>
    </w:p>
    <w:p>
      <w:r>
        <w:rPr>
          <w:b/>
        </w:rPr>
        <w:t>E. 10</w:t>
      </w:r>
    </w:p>
    <w:p>
      <w:r>
        <w:t>Cette expertise a été rendue en connaissance du dossier médical, prend en compte les plaintes de la recourante et repose sur un examen clinique approfondi (cinq heures d'entretiens réparties sur sept semaines). Ses conclusions sont motivées et convaincantes. Cela étant, cette expertise remplit assurément les critères jurisprudentiels pour lui reconnaître une pleine valeur probante. Cela étant, il y a lieu de suivre les conclusions de cette expertise et de constater que la recourante ne présente aucune incapacité de travail.</w:t>
      </w:r>
    </w:p>
    <w:p>
      <w:r>
        <w:rPr>
          <w:b/>
        </w:rPr>
        <w:t>E. 11</w:t>
      </w:r>
    </w:p>
    <w:p>
      <w:r>
        <w:t>Le recours sera par conséquent rejeté.</w:t>
      </w:r>
    </w:p>
    <w:p>
      <w:r>
        <w:rPr>
          <w:b/>
        </w:rPr>
        <w:t>E. 12</w:t>
      </w:r>
    </w:p>
    <w:p>
      <w:r>
        <w:t>La recourante plaidant au bénéfice de l'assistance juridique, il est renoncé à percevoir un émolument de justice.</w:t>
      </w:r>
    </w:p>
    <w:p>
      <w:r>
        <w:t>A/1371/2021 - 12/12 -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