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ATAS/340/2026 vom 23. April 2026</w:t>
      </w:r>
    </w:p>
    <w:p>
      <w:r>
        <w:t>GE Cour de justice, 2026-04-23, FR</w:t>
      </w:r>
    </w:p>
    <w:p>
      <w:r>
        <w:rPr>
          <w:b/>
        </w:rPr>
        <w:t xml:space="preserve">Quelle: </w:t>
      </w:r>
      <w:r>
        <w:t>https://mcp.opencaselaw.ch/entscheid/ge_gerichte_ATAS_340_2026</w:t>
      </w:r>
    </w:p>
    <w:p>
      <w:r>
        <w:t>FR: GE_GERICHTE ATAS/340/2026 du 23 avril 2026</w:t>
      </w:r>
    </w:p>
    <w:p>
      <w:r>
        <w:t>IT: GE_GERICHTE ATAS/340/2026 del 23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t>A/320/2026 - 10/17 -</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refus d’octroi de nouvelles mesures d’ordre professionnel à l’assuré, lequel fait valoir une amélioration de son état de santé.</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de sorte que les dispositions légales applicables seront citées ci-après dans leur nouvelle teneur (cf. ATF 148 V 174 consid. 4.1).</w:t>
      </w:r>
    </w:p>
    <w:p>
      <w:r>
        <w:rPr>
          <w:b/>
        </w:rPr>
        <w:t>E. 4.1</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w:t>
      </w:r>
    </w:p>
    <w:p>
      <w:r>
        <w:t>A/320/2026 - 11/17 -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l’âge de l’assuré, de son niveau de développement, de ses aptitudes et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En particulier, l’assuré a droit au reclassement dans une nouvelle profession si son invalidité rend cette mesure nécessaire et que sa capacité de gain peut ainsi, selon toute vraisemblance, être maintenue ou améliorée (art. 17 al. 1 LAI).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w:t>
      </w:r>
    </w:p>
    <w:p>
      <w:r>
        <w:t>A/320/2026 - 12/17 -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4.6</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rPr>
          <w:b/>
        </w:rPr>
        <w:t>E. 4.7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4.8</w:t>
      </w:r>
    </w:p>
    <w:p>
      <w:r>
        <w:t>Sans remettre en cause le principe de la libre appréciation des preuves, le Tribunal fédéral des assurances a posé des lignes directrices en ce qui concerne la manière d'apprécier certains types d'expertises ou de rapports médicaux.</w:t>
      </w:r>
    </w:p>
    <w:p>
      <w:r>
        <w:t>A/320/2026 - 13/17 -</w:t>
      </w:r>
    </w:p>
    <w:p>
      <w:r>
        <w:rPr>
          <w:b/>
        </w:rPr>
        <w:t>E. 4.8.1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4.8.2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w:t>
      </w:r>
    </w:p>
    <w:p>
      <w:r>
        <w:t>A/320/2026 - 14/17 - droit des assurances sociales, un principe selon lequel l’administration ou le juge devrait statuer, dans le doute, en faveur de l’assuré (ATF 135 V 39 consid. 6.1 et la référence). 5. En l’espèce, le recourant sollicite des mesures d’ordre professionnel, plus particulièrement la prise en charge d’une formation, par exemple en tant qu’auxiliaire de vie. Le recourant insiste depuis de nombreuses années pour obtenir de nouvelles mesures de réadaptation professionnelle. Il argue que son état s'est amélioré, qu'il a mûri et qu'il est très motivé. L'intimé considère, quant à lui, suivant en cela l'avis du SMR, que l’état de santé de l’assuré ne s'est pas modifié depuis la dernière décision entrée en force et qu'au vu des difficultés rencontrées par le recourant, des mesures d’ordre professionnel ne sont pas de nature à améliorer sa capacité de gain. On rappellera d’emblée qu'il n'existe pas de droit inconditionnel à obtenir une mesure professionnelle (voir par ex. l'arrêt du Tribunal fédéral 9C_385/2009 du</w:t>
      </w:r>
    </w:p>
    <w:p>
      <w:r>
        <w:rPr>
          <w:b/>
        </w:rPr>
        <w:t>E. 9</w:t>
      </w:r>
    </w:p>
    <w:p>
      <w:r>
        <w:t>avril 2001 consid. 1).</w:t>
      </w:r>
    </w:p>
    <w:p>
      <w:r>
        <w:rPr>
          <w:b/>
        </w:rPr>
        <w:t>E. 13</w:t>
      </w:r>
    </w:p>
    <w:p>
      <w:r>
        <w:t>octobre 2009) et que le recourant a déjà bénéficié d’un certain nombre de mesures par le passé, ainsi que l’a récapitulé la division de réadaptation professionnelle. Ainsi, l’assuré a déjà bénéficié d’une prise en charge au centre éducatif de la formation initiale d’août 2002 à juin 2006. En décembre 2006, il a été conclu que seule une intégration dans un milieu protégé pouvait correspondre à la situation. En février 2007, a été mis en place un stage au SEVE qui a, lui aussi, abouti à la conclusion que l’assuré avait un grand besoin d’encadrement. Un nouveau stage d’orientation a été mis sur pied à l’ORIPH pour trois mois, puis une formation professionnelle initiale pour une préparation à une activité en milieu protégé en intendance durant six mois. Au terme de ces mesures, le bilan ORIPH a retenu que l’assuré présentait de faibles compétences dues non seulement à des difficultés cognitives, mais aussi motrices. Une formation a été néanmoins organisée pour lui en vue de le préparer à rejoindre ensuite un lieu de travail protégé mieux adapté à ses qualités et compétences. En mars 2009, l’assuré s’est inscrit en pré-apprentissage et a fait un stage d’assistant de bureau auprès de CARITAS. Une fois encore, il a été conclu qu’il n’était pas adéquat pour ce type d’activité selon les prestataires. En janvier 2012, la division de réadaptation a repris le dossier, suite à une légère amélioration de l’état de santé et a proposé à l’assuré une mesure auprès des EPI. Celle-ci s’est clôturée en août 2013. Les EPI ont tiré les conclusions que l’assuré ne disposait pas d’un potentiel de réadaptation susceptible d’améliorer sa capacité de gain. Le recourant produit, il est vrai, un nouveau rapport de son médecin traitant affirmant qu’il serait apte à travailler à 100% sans aucune limitation fonctionnelle. Cela étant, le médecin n’amène aucun élément objectif à l’appui de l’amélioration</w:t>
      </w:r>
    </w:p>
    <w:p>
      <w:r>
        <w:t>A/320/2026 - 15/17 - supposée de l’état de son patient, dont on peut aisément comprendre qu’il a certainement dû insister auprès de son médecin autant qu’il l’a fait au fil des ans auprès de l’intimé. C’est d’ailleurs tout à son honneur et il convient ici de saluer la volonté de réinsertion du recourant. Cela étant, ainsi que le fait remarquer l’intimé et sa division de réadaptation, cette volonté se heurte à la réalité médicale, dont le recourant, décrit comme anosognosique, ne perçoit sans doute pas toute l’ampleur. Si l'on peut comprendre que le médecin traitant souhaite appuyer son patient dans sa démarche, force est cependant de constater que le nouveau bilan neuropsychologique produit par l’assuré vient contredire l’amélioration alléguée par lui et le médecin généraliste. Ainsi que l’a relevé le SMR dans son avis du 20 août 2025, il apparaît clairement à la lecture dudit bilan que l’état de santé de l’assuré ne s’est pas notablement modifié depuis la dernière décision entrée en force. Le bilan neuropsychologique met en évidence des « capacités » correspondant toujours à une activité en atelier protégé. Dans ces circonstances, on ne saurait reprocher à l’intimé d'avoir considéré que les difficultés de l'assuré compromettaient clairement la réussite d’une formation classique visant l’économie libre et que la capacité de travail à laquelle fait référence le médecin traitant n’est pas exploitable. Les conditions de formation et de travail décrites par la neuropsychologue et le neurologue ne correspondent pas à des conditions ordinaires, mais bien à des formations spécialisées et à des emplois de type protégé. Or, des mesures de réadaptation professionnelle doivent non seulement être nécessaires et de nature à rétablir, maintenir ou améliorer la capacité de gain ou la capacité à accomplir les travaux habituels, mais aussi ne pas être dénuées de chances de succès. Par ailleurs, on rappellera que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Le recourant, dans la mesure où il demande la prise en charge d’une formation d’auxiliaire de vie classique que ses difficultés cognitives ne lui permettront vraisemblablement pas d'obtenir, malgré toute la motivation dont il fait preuve – et qu'il convient de saluer –, ne saurait se voir exaucer.</w:t>
      </w:r>
    </w:p>
    <w:p>
      <w:r>
        <w:t>A/320/2026 - 16/17 - Il ressort des documents médicaux versés au dossier et des considérations qui précèdent que l'état de santé de l'assuré ne s'est pas modifié au point de considérer les conditions d'octroi de mesures professionnelles comme remplies. En conséquence, le recours est rejeté.</w:t>
      </w:r>
    </w:p>
    <w:p>
      <w:r>
        <w:t>***</w:t>
      </w:r>
    </w:p>
    <w:p>
      <w:r>
        <w:t>A/320/2026 - 17/17 -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