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ATAS/340/2025 vom 13. Mai 2025</w:t>
      </w:r>
    </w:p>
    <w:p>
      <w:r>
        <w:t>GE Cour de justice, 2025-05-13, FR</w:t>
      </w:r>
    </w:p>
    <w:p>
      <w:r>
        <w:rPr>
          <w:b/>
        </w:rPr>
        <w:t xml:space="preserve">Quelle: </w:t>
      </w:r>
      <w:r>
        <w:t>https://mcp.opencaselaw.ch/entscheid/ge_gerichte_ATAS_340_2025</w:t>
      </w:r>
    </w:p>
    <w:p>
      <w:r>
        <w:t>FR: GE_GERICHTE ATAS/340/2025 du 13 mai 2025</w:t>
      </w:r>
    </w:p>
    <w:p>
      <w:r>
        <w:t>IT: GE_GERICHTE ATAS/340/2025 del 13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prima facie recevable (art. 60 al. 1 LPGA).</w:t>
      </w:r>
    </w:p>
    <w:p>
      <w:r>
        <w:rPr>
          <w:b/>
        </w:rPr>
        <w:t>E. 2.1</w:t>
      </w:r>
    </w:p>
    <w:p>
      <w:r>
        <w:t>Selon l'art. 54 al. 1 let. c LPGA, les décisions et les décisions sur opposition sont exécutoires lorsque l'effet suspensif attribué à une opposition ou à un recours a été retiré. La LPGA ne contient aucune disposition topique en matière d'effet suspensif. Selon l'art. 55 al. 1 LPGA, les points de la procédure administrative en matière d'assurances sociales qui ne sont pas réglés de manière exhaustive aux art. 27 à 54</w:t>
      </w:r>
    </w:p>
    <w:p>
      <w:r>
        <w:t>A/1463/2025 - 4/6 -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w:t>
      </w:r>
    </w:p>
    <w:p>
      <w:r>
        <w:rPr>
          <w:b/>
        </w:rPr>
        <w:t>E. 2.2</w:t>
      </w:r>
    </w:p>
    <w:p>
      <w:r>
        <w:t>L'art. 55 al. 3 PA prévoit que l'autorité de recours ou son président peut restituer l'effet suspensif à un recours auquel l'autorité inférieure l'avait retiré ; la demande de restitution de l'effet suspensif est traitée sans délai.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w:t>
      </w:r>
    </w:p>
    <w:p>
      <w:r>
        <w:rPr>
          <w:b/>
        </w:rPr>
        <w:t>E. 2.3</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w:t>
      </w:r>
    </w:p>
    <w:p>
      <w:r>
        <w:rPr>
          <w:b/>
        </w:rPr>
        <w:t>E. 2.4</w:t>
      </w:r>
    </w:p>
    <w:p>
      <w:r>
        <w:t>En l’espèce, les chances de succès du recours n’apparaissent, prima facie et sans préjudice de l’examen au fond, pas à ce point manifestes qu’elles justifieraient à elles seules la restitution de l’effet suspensif. Certes, le courrier de l’intimée du 22 mars 2021, par lequel elle a indiqué avoir reconsidéré sa décision et réduit les prétentions du recourant ne satisfait a priori pas aux exigences posées</w:t>
      </w:r>
    </w:p>
    <w:p>
      <w:r>
        <w:t>A/1463/2025 - 5/6 - à l’art. 49 al. 3 LPGA. Or, même à considérer que l’écriture du recourant du 18 septembre 2024 constitue une opposition valable à la décision du 22 mars 2021, les éléments au dossier - en particulier les fiches de salaire pour les mois de janvier et février 2020, le contrat de travail et l’extrait du compte individuel du recourant - ne suffisent de prime abord, et en l’état du dossier, pas à retenir que celle-ci serait manifestement bien fondée. S’ajoute à cela que l’exécution immédiate de la décision apparaissait d’autant plus justifiée qu’au moment de la décision litigieuse, les prestations en question avaient été réduites depuis déjà quatre ans. Dans ces conditions, et compte tenu de la jurisprudence précitée, l'intérêt de l’intimée l’emporte sur celui de la personne assurée à obtenir des indemnités journalières plus élevées durant la période considérée.</w:t>
      </w:r>
    </w:p>
    <w:p>
      <w:r>
        <w:rPr>
          <w:b/>
        </w:rPr>
        <w:t>E. 3</w:t>
      </w:r>
    </w:p>
    <w:p>
      <w:r>
        <w:t>Partant, la demande de restitution de l’effet suspensif sera rejetée et la suite de la procédure réservée.</w:t>
      </w:r>
    </w:p>
    <w:p>
      <w:r>
        <w:t>A/1463/2025 - 6/6 -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