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ATAS/340/2023 vom 15. Mai 2022</w:t>
      </w:r>
    </w:p>
    <w:p>
      <w:r>
        <w:t>GE Cour de justice, 2022-05-15, FR</w:t>
      </w:r>
    </w:p>
    <w:p>
      <w:r>
        <w:rPr>
          <w:b/>
        </w:rPr>
        <w:t xml:space="preserve">Quelle: </w:t>
      </w:r>
      <w:r>
        <w:t>https://mcp.opencaselaw.ch/entscheid/ge_gerichte_ATAS_340_2023</w:t>
      </w:r>
    </w:p>
    <w:p>
      <w:r>
        <w:t>FR: GE_GERICHTE ATAS/340/2023 du 15 mai 2022</w:t>
      </w:r>
    </w:p>
    <w:p>
      <w:r>
        <w:t>IT: GE_GERICHTE ATAS/340/2023 del 15 maggio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1.3</w:t>
      </w:r>
    </w:p>
    <w:p>
      <w:r>
        <w:t>Le délai de recours est de trente jours (art. 56 LPGA; art. 62 al. 1 de la de loi sur la procédure administrative du 12 septembre 1985 [LPA - E 5 10]). Interjeté dans la forme et le délai prévus par la loi, le recours est recevable.</w:t>
      </w:r>
    </w:p>
    <w:p>
      <w:r>
        <w:t>A/1454/2021 - 6/12 -</w:t>
      </w:r>
    </w:p>
    <w:p>
      <w:r>
        <w:rPr>
          <w:b/>
        </w:rPr>
        <w:t>E. 2</w:t>
      </w:r>
    </w:p>
    <w:p>
      <w:r>
        <w:t>Le litige porte sur le droit de la recourante à une rente d’invalidité et à des mesures professionnelles, singulièrement sur l’évaluation de sa capacité de travail.</w:t>
      </w:r>
    </w:p>
    <w:p>
      <w:r>
        <w:rPr>
          <w:b/>
        </w:rPr>
        <w:t>E. 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3.3</w:t>
      </w:r>
    </w:p>
    <w:p>
      <w:r>
        <w:t>et les références), une telle procédure préalable n'étant requise que si une mesure de réadaptation a été commencée et qu'il est question de l'interrompre (cf.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4</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présuppose qu'elle soit appropriée au but de la réadaptation poursuivi par l'assurance-invalidité, et cela tant objectivement en ce qui concerne la mesure que sur le plan subjectif en rapport avec la personne de</w:t>
      </w:r>
    </w:p>
    <w:p>
      <w:r>
        <w:t>A/1454/2021 - 7/12 -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9C_59/2017 du 21 juin 2017 consid.</w:t>
      </w:r>
    </w:p>
    <w:p>
      <w:r>
        <w:rPr>
          <w:b/>
        </w:rPr>
        <w:t>E. 5.1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t>A/1454/2021 - 8/12 -</w:t>
      </w:r>
    </w:p>
    <w:p>
      <w:r>
        <w:rPr>
          <w:b/>
        </w:rPr>
        <w:t>E. 5.2</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rPr>
          <w:b/>
        </w:rPr>
        <w:t>E. 6.1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t>A/1454/2021 - 9/12 - Sans remettre en cause le principe de la libre appréciation des preuves, le Tribunal fédéral des assurances a posé des lignes directrices en ce qui concerne la manière d'apprécier certains types d'expertises ou de rapports médicaux.</w:t>
      </w:r>
    </w:p>
    <w:p>
      <w:r>
        <w:rPr>
          <w:b/>
        </w:rPr>
        <w:t>E. 6.3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l’occurrence, la chambre de céans a estimé qu’une expertise psychiatrique judiciaire était nécessaire, celle du Dr D______ n’emportant pas la conviction.</w:t>
      </w:r>
    </w:p>
    <w:p>
      <w:r>
        <w:rPr>
          <w:b/>
        </w:rPr>
        <w:t>E. 8.1</w:t>
      </w:r>
    </w:p>
    <w:p>
      <w:r>
        <w:t>La Dre E______ a rendu son rapport d’expertise le 15 mars 2023, lequel conclut à une capacité de travail de la recourante au maximum de 30% depuis 2016 et exigible dans un milieu protégé. Ce rapport, fondé sur toutes les pièces du dossier, comprenant une anamnèse complète, la description des plaintes de la recourante, posant des diagnostics clairs et étayés et proposant une analyse convaincante de la limitation de la capacité de travail de la recourante, répond aux réquisits jurisprudentiels précités pour qu’il lui soit reconnu une pleine valeur probante. Il convient, en conséquence, de suivre ses conclusions.</w:t>
      </w:r>
    </w:p>
    <w:p>
      <w:r>
        <w:rPr>
          <w:b/>
        </w:rPr>
        <w:t>E. 8.2</w:t>
      </w:r>
    </w:p>
    <w:p>
      <w:r>
        <w:t>L’intimé admet la valeur probante de l’expertise judiciaire et conclut à l’octroi à la recourante d’une rente entière d’invalidité depuis le 11 mars 2020, fondée sur un taux d’invalidité de 100%. La recourante a indiqué approuver le rapport d’expertise judiciaire.</w:t>
      </w:r>
    </w:p>
    <w:p>
      <w:r>
        <w:t>A/1454/2021 - 10/12 -</w:t>
      </w:r>
    </w:p>
    <w:p>
      <w:r>
        <w:rPr>
          <w:b/>
        </w:rPr>
        <w:t>E. 8.3</w:t>
      </w:r>
    </w:p>
    <w:p>
      <w:r>
        <w:t>Compte tenu du dépôt de la demande de prestations le 11 septembre 2019, le droit à la rente nait le 11 mars 2020, conformément aux conclusions de l’intimé.</w:t>
      </w:r>
    </w:p>
    <w:p>
      <w:r>
        <w:rPr>
          <w:b/>
        </w:rPr>
        <w:t>E. 8.4</w:t>
      </w:r>
    </w:p>
    <w:p>
      <w:r>
        <w:t>Enfin, la recourante n’a pas repris dans sa dernière écriture sa conclusion visant à l’octroi de mesures de réadaptation, laquelle n’aurait en toute hypothèse que pu être rejetée, vu la conclusion de l’experte judiciaire estimant que de telles mesures ne sont pas envisageables.</w:t>
      </w:r>
    </w:p>
    <w:p>
      <w:r>
        <w:rPr>
          <w:b/>
        </w:rPr>
        <w:t>E. 9.1</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apparait peu opportun au regard du principe de l'égalité des armes (ATF 139 V 225 consid. 4.3). Cette règle ne saurait entrainer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arrêt du Tribunal fédéral 8C_580/2019 du 6 avril 2020 consid. 5.1).</w:t>
      </w:r>
    </w:p>
    <w:p>
      <w:r>
        <w:rPr>
          <w:b/>
        </w:rPr>
        <w:t>E. 9.2</w:t>
      </w:r>
    </w:p>
    <w:p>
      <w:r>
        <w:t>En l’occurrence, le rapport d’expertise du Dr D______ n’est pas probant, ce que l’intimé a admis, en suivant pleinement les conclusions de l’expertise</w:t>
      </w:r>
    </w:p>
    <w:p>
      <w:r>
        <w:t>A/1454/2021 - 11/12 - judiciaire. Partant, il se justifie de mettre les frais ce celle-ci en CHF 4'062.59 à la charge de l’intimé.</w:t>
      </w:r>
    </w:p>
    <w:p>
      <w:r>
        <w:rPr>
          <w:b/>
        </w:rPr>
        <w:t>E. 10</w:t>
      </w:r>
    </w:p>
    <w:p>
      <w:r>
        <w:t>Le recours sera admis, la décision litigieuse annulée et il sera dit que la recourante a droit à une rente entière d’invalidité dès le 1er mars 2020. La recourante n’étant pas représentée, elle n’a pas droit à des dépens. Au vu du sort du recours, il y a lieu de condamner l’intimé au paiement d'un émolument de CHF 200.- (art. 69 al. 1 bis LAI).</w:t>
      </w:r>
    </w:p>
    <w:p>
      <w:r>
        <w:t>A/1454/2021 - 12/12 - PAR CES MOTIFS, LA CHAMBRE DES ASSURANCES SOCIALES : Statuant préparatoirement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