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ATAS/340/2020 vom 5. Mai 2020</w:t>
      </w:r>
    </w:p>
    <w:p>
      <w:r>
        <w:t>GE Cour de justice, 2020-05-05, FR</w:t>
      </w:r>
    </w:p>
    <w:p>
      <w:r>
        <w:rPr>
          <w:b/>
        </w:rPr>
        <w:t xml:space="preserve">Quelle: </w:t>
      </w:r>
      <w:r>
        <w:t>https://mcp.opencaselaw.ch/entscheid/ge_gerichte_ATAS_340_2020</w:t>
      </w:r>
    </w:p>
    <w:p>
      <w:r>
        <w:t>FR: GE_GERICHTE ATAS/340/2020 du 5 mai 2020</w:t>
      </w:r>
    </w:p>
    <w:p>
      <w:r>
        <w:t>IT: GE_GERICHTE ATAS/340/2020 del 5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3</w:t>
      </w:r>
    </w:p>
    <w:p>
      <w:r>
        <w:t>La recourante sollicite la tenue d’une audience de comparution personnelle. a. Tel que garanti par l'art. 29 al. 2 Cst., le droit d'être entendu comprend, notamment, le droit pour l'intéressé de s'exprimer sur les éléments pertinents avant qu'une décision ne soit prise touchant sa situation juridique et d'obtenir qu'il soit donné suite à ses offres de preuves pertinentes (ATF 135 II 286 consid. 5.1; 132 II 485 consid. 3.2; 127 I 54 consid. 2b ; 126 I 7 consid. 2b).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Par ailleurs, le droit d'être entendu ne comprend pas le droit d'être entendu oralement (ATF 134 I 140 consid. 5.3 ; arrêt du Tribunal fédéral 1C_551/2015 du 22 mars 2016 consid. 2.2).</w:t>
      </w:r>
    </w:p>
    <w:p>
      <w:r>
        <w:t>A/3261/2019 - 5/12 - b. En l’espèce, la recourante conclut, à titre préalable, à la tenue d’une audience de comparution personnelle des parties. Elle ne précise pas sur quels points son audition devrait porter. En tant qu’elle invoque l’interrogatoire des partis en lien avec le fait que feu son mari avait perçu des prestations de l’intimé entre le 1er décembre 2011 et le 30 novembre 2016, il est relevé que ce point n’est pas contesté. Il en va de même de la date du décès de l’assuré. La question de savoir si la recourante ne savait pas, comme elle le soutient, que son mari percevait des prestations du SPC, elle n’est pas pertinente pour examiner le bienfondé de la demande de restitution, comme cela sera exposé ci-après. En outre, quand bien même la recourante ignorait ce fait, cela demeurerait sans incidence sur l’issue du litige. En effet, celui-ci est limité à la question de savoir si l’assuré s’est rendu coupable d’une infraction pénale justifiant l’application du délai de prescription pénale à la demande en restitution. Au vu de ce qui précède, il ne sera pas donné suite à la demande d’audition des parties.</w:t>
      </w:r>
    </w:p>
    <w:p>
      <w:r>
        <w:rPr>
          <w:b/>
        </w:rPr>
        <w:t>E. 4</w:t>
      </w:r>
    </w:p>
    <w:p>
      <w:r>
        <w:t>Le litige porte sur la question de la restitution de prestations complémentaires et de subsides de l’assurance-maladie perçues par l’assuré entre le 1er décembre 2011 et le 30 novembre 2016, à l'exclusion de la question de la remise de cette obligation qui n'a pas à être examinée en l'état.</w:t>
      </w:r>
    </w:p>
    <w:p>
      <w:r>
        <w:rPr>
          <w:b/>
        </w:rPr>
        <w:t>E. 5</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6</w:t>
      </w:r>
    </w:p>
    <w:p>
      <w:r>
        <w:t>a. S'agissant des prestations complémentaires fédérales, selon l'art. 25 al. 1 1ère phrase LPGA, en relation avec l'art. 2 al. 1 let. a de l'Ordonnance sur la partie générale du droit des assurances sociales du</w:t>
      </w:r>
    </w:p>
    <w:p>
      <w:r>
        <w:rPr>
          <w:b/>
        </w:rPr>
        <w:t>E. 11</w:t>
      </w:r>
    </w:p>
    <w:p>
      <w:r>
        <w:t>al. 2 let. a et b CP;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w:t>
      </w:r>
    </w:p>
    <w:p>
      <w:r>
        <w:t>c.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11 consid. 2.4.1 et consid. 2.4.6 in fine ; voir également arrêt du Tribunal fédéral 6B_791/2013 du 3 mars 2014 consid. 3.1.1).</w:t>
      </w:r>
    </w:p>
    <w:p>
      <w:r>
        <w:t>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à l’égard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w:t>
      </w:r>
    </w:p>
    <w:p>
      <w:r>
        <w:rPr>
          <w:b/>
        </w:rPr>
        <w:t>E. 13</w:t>
      </w:r>
    </w:p>
    <w:p>
      <w:r>
        <w:t>décembre 2013, consid. 4.1.3).</w:t>
      </w:r>
    </w:p>
    <w:p>
      <w:r>
        <w:t>A/3261/2019 - 10/12 -</w:t>
      </w:r>
    </w:p>
    <w:p>
      <w:r>
        <w:t>d.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phrase LPGA, suppose la réunion des éléments tant objectifs que subjectifs de l'infraction (arrêt du Tribunal fédéral 8C_213/2016 du 4 novembre 2016 consid. 5.2).</w:t>
      </w:r>
    </w:p>
    <w:p>
      <w:r>
        <w:t>e. Selon l'art. 97 al. 1 CP, dans sa teneur en vigueur depuis le 1er janvier 2014, l'action pénale se prescrit par 30 ans si l'infraction était passible d'une peine privative de liberté à vie, par quinze ans si elle est passible d'une peine privative de liberté de plus de trois ans, par dix ans si elle est passible d'une peine privative de liberté de trois ans et par sept ans, si la peine maximale encourue est une autre peine. Auparavant, l'action pénale se prescrivait par quinze ans si elle était passible d'une peine privative de liberté de plus de trois ans, et par sept ans, si la peine maximale encourue était une autre peine. Le délai de prescription de l'action pénale pour une infraction telle que celle décrite aux art. 31 LPC et 92 LAMal est donc de sept ans, celui d'une infraction à l'art. 146 al. 1 CP de quinze ans. 10. a. En l’espèce, en omettant de signaler, tout au long de la période pendant laquelle il a perçu des prestations du SPC, qu'il était titulaire d'autres comptes que ceux déclarés, le défunt a déterminé l'intimé à lui octroyer des prestations complémentaires auxquelles il n'avait pas droit, de sorte que les éléments constitutifs objectifs de l'art. 31 al. 1 let. a et d LPC sont réalisés.</w:t>
      </w:r>
    </w:p>
    <w:p>
      <w:r>
        <w:t>Sur le plan subjectif, il convient de relever que tant la « communication importante » adressée chaque année au défunt que les décisions d’octroi l'invitaient expressément à vérifier les comptes bancaires, postaux, titres etc. pris en compte et à signaler tout changement à cet égard. En s'abstenant de faire part à l'intimé, à réception de ces informations annuelles, de l’intégralité de sa fortune, le défunt a accepté l'éventualité que l'intimé continue à lui octroyer des prestations auxquelles il n'avait pas droit. Il ressort, en effet, clairement des « communications importantes » et des décisions d’octroi de prestations que recevait l’assuré que la situation économique conditionnant le droit aux prestations complémentaires dépendait de trois rubriques intitulées respectivement « ressources », « fortune » et « dépenses ». En outre, le dossier ne contient aucun élément – et la recourante n’en allègue au demeurant pas – qui aurait dû éveiller les soupçons du SPC. Celui-ci n'avait donc pas de motif de procéder à des vérifications plus approfondies que dans n'importe quel autre cas où un assuré ne se manifeste pas à réception du courrier l'exhortant à annoncer toute modification de sa situation financière. Compte tenu de l'écart très significatif entre la fortune déclarée et non déclarée, il y a lieu de considérer qu'il est établi, avec une certitude suffisante (cf. ATF 138 V 74 consid.</w:t>
      </w:r>
    </w:p>
    <w:p>
      <w:r>
        <w:t>A/3261/2019 - 11/12 - 8.4.3 et ci-dessus : consid. 11g), que le défunt était conscient du caractère incomplet des informations fournies à l'intimé et qu'en ne signalant pas l’intégralité de sa fortune, il a accepté à tout le moins l'éventualité que l'intimé lui octroie des prestations complémentaires auxquelles il n'avait pas droit, de sorte qu'il a contrevenu à l'art. 31 al. 1 let. a et d LPC par dol éventuel.</w:t>
      </w:r>
    </w:p>
    <w:p>
      <w:r>
        <w:t>Il s'ensuit que les conditions objectives et subjectives de l'infraction réprimée à l'art. 31 al. 1 let. a et d LPC sont remplies.</w:t>
      </w:r>
    </w:p>
    <w:p>
      <w:r>
        <w:t>Le délai de péremption de plus longue durée prévu par le droit pénal, soit en l'occurrence sept ans (art. 97 CP), est par conséquent applicable. Il s'avère ainsi que la demande en restitution du 20 novembre 2018 n'est pas périmée pour la période courant du 1er décembre 2011 au 30 novembre 2016.</w:t>
      </w:r>
    </w:p>
    <w:p>
      <w:r>
        <w:t>b. En tant que la recourante objecte qu’elle-même ignorait que son mari percevait des prestations du SPC et que l’éventuelle infraction retenue à l’encontre de celui-ci ne pourrait lui être imputée, elle se méprend sur la manière dont doit être examinée la question de la prescription. En effet, celle-ci s’attache à la question de savoir si le bénéficiaire des prestations a indûment perçu celle-ci. Cet examen implique, comme en l’occurrence, l’analyse à titre préjudiciel de la question de savoir si le défunt mari de la recourante s’est rendu coupable d’une infraction, élément nécessaire pour déterminer le délai de prescription applicable à la demande en restitution.</w:t>
      </w:r>
    </w:p>
    <w:p>
      <w:r>
        <w:t>La bonne foi dont se prévaut la recourante, en sa qualité d’héritière en particulier, ne sera examinée que dans un second temps, à savoir dans le cadre d’une éventuelle demande de remise.</w:t>
      </w:r>
    </w:p>
    <w:p>
      <w:r>
        <w:t>Pour le surplus, la recourante ne conteste pas le montant des prestations faisant l’objet de la demande de restitution.</w:t>
      </w:r>
    </w:p>
    <w:p>
      <w:r>
        <w:t>Au de ce qui précède, le recours, mal fondé, sera rejeté. 11. La procédure est gratuite (art. 89H al. 4 LPA).</w:t>
      </w:r>
    </w:p>
    <w:p>
      <w:r>
        <w:t>A/3261/2019 - 12/12 -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