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ATAS/340/2018 vom 23. April 2018</w:t>
      </w:r>
    </w:p>
    <w:p>
      <w:r>
        <w:t>GE Cour de justice, 2018-04-23, FR</w:t>
      </w:r>
    </w:p>
    <w:p>
      <w:r>
        <w:rPr>
          <w:b/>
        </w:rPr>
        <w:t xml:space="preserve">Quelle: </w:t>
      </w:r>
      <w:r>
        <w:t>https://mcp.opencaselaw.ch/entscheid/ge_gerichte_ATAS_340_2018</w:t>
      </w:r>
    </w:p>
    <w:p>
      <w:r>
        <w:t>FR: GE_GERICHTE ATAS/340/2018 du 23 avril 2018</w:t>
      </w:r>
    </w:p>
    <w:p>
      <w:r>
        <w:t>IT: GE_GERICHTE ATAS/340/2018 del 23 aprile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Le litige porte sur le droit de la recourante à des prestations d’invalidité, dans le cadre de la nouvelle demande qu’elle a déposée en 2013.</w:t>
      </w:r>
    </w:p>
    <w:p>
      <w:r>
        <w:rPr>
          <w:b/>
        </w:rPr>
        <w:t>E. 4</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A/2315/2016 - 15/24 -</w:t>
      </w:r>
    </w:p>
    <w:p>
      <w:r>
        <w:rPr>
          <w:b/>
        </w:rPr>
        <w:t>E. 5</w:t>
      </w:r>
    </w:p>
    <w:p>
      <w:r>
        <w:t>Selon l’art. 87 al.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A/2315/2016 - 16/24 -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7</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tâche d’éduquer et soigner de jeunes enfants peut certes expliquer qu’un des parents réduise son taux d’activité professionnelle, dans la perspective de le rehausser une fois que les enfants n’auraient plus le même besoin de présence et disponibilité de leurs parents à domicile. Aussi le fait que les enfants atteignent, par l’écoulement du temps, un certain degré d’autonomie constitue-t-il un indice que le parent ayant réduit son taux d’activité professionnelle, voire ayant renoncé à exercer une activité professionnelle, en (re)prendrait une ou augmenterait son taux d’activité s’il n’était devenu invalide dans l’intervalle. Il ne suffit cependant pas à lui seul à rendre vraisemblable une telle (re)prise d’activité ou augmentation de taux d’activité. Il ne s’agit pas d’un fait d’expérience si ancré dans les mœurs qu’une simple déclaration d’intention associée à l’avancement en âge des enfants dispenserait de la nécessité d’en étayer la vraisemblance par d’indices extérieurs</w:t>
      </w:r>
    </w:p>
    <w:p>
      <w:r>
        <w:t>A/2315/2016 - 17/24 - (arrêt du Tribunal fédéral des assurances I 693/06 du 20 décembre 2006 consid. 4.1).</w:t>
      </w:r>
    </w:p>
    <w:p>
      <w:r>
        <w:rPr>
          <w:b/>
        </w:rPr>
        <w:t>E. 8</w:t>
      </w:r>
    </w:p>
    <w:p>
      <w:r>
        <w:t>a. L’application de la méthode mixte peut s’avérer discriminatoire dans certaines situations de changement de statut pour des motifs familiaux, ainsi que la Cour européenne des droits de l'homme l’a jugé par l’arrêt du 2 février 2016 dans la cause n° 7186/09 Di Trizio contre Suisse. Dans cette cause, une assurée qui, sans atteinte à la santé, n'aurait travaillé qu'à temps partiel après la naissance de ses enfants, s'était vue de ce fait supprimer sa rente d'invalidité en application des règles sur la révision de la rente ; cela constituait dans ce cas une violation de l'art. 14 CEDH (interdiction de la discrimination) en relation avec l'art. 8 CEDH (droit au respect de la vie privée et familiale ; arrêt du Tribunal fédéral 9C_473/2016 du 25 janvier 2017 consid. 4). b. Selon la jurisprudence du Tribunal fédéral,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 dans un tel cas, le versement de la rente en cours doit être poursuivi (ATF 143 I 50). c. Par modification du 1er décembre 2017, entrée en vigueur le 1er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(art. 27 et 27bis al. 2 à 4 RAI). Comme le Conseil fédéral l’a expliqué dans son communiqué de presse et son rapport explicatif du 1er décembre 2017 (accessible sur internet à l’adresse https://www.bsv.admin.ch/bsv/fr/home/publications-et-services), le nouveau mode de calcul accorde un poids égal aux conséquences d’une atteinte à la santé sur l’exercice d’une activité lucrative et sur l’accomplissement des travaux habituels ; dans le domaine professionnel, la détermination du taux d’invalidité se base sur l’hypothèse d’une activité lucrative exercée à plein temps ; de même, en ce qui concerne les travaux habituels, le calcul est aussi effectué comme si la personne s’y consacrait à plein temps ; les tâches ménagères et familiales sont ainsi mieux prises en compte.</w:t>
      </w:r>
    </w:p>
    <w:p>
      <w:r>
        <w:rPr>
          <w:b/>
        </w:rPr>
        <w:t>E. 9</w:t>
      </w:r>
    </w:p>
    <w:p>
      <w:r>
        <w:t>a.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w:t>
      </w:r>
    </w:p>
    <w:p>
      <w:r>
        <w:t>A/2315/2016 - 18/24 - l’invalidité globale d’après le temps consacré à ces deux champs d’activité (ATF 137 V 334 consid. 5). b.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c. Chez les assurés travaillant dans le ménage, le degré d'invalidité se détermine, en règle générale, au moyen d'une enquête économique sur place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t>A/2315/2016 - 19/24 -</w:t>
      </w:r>
    </w:p>
    <w:p>
      <w:r>
        <w:rPr>
          <w:b/>
        </w:rPr>
        <w:t>E. 10</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(ATF 125 V 261 consid. 4 ;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issue d’une observation professionnelle diverge sensiblement de l'appréciation médicale, il incombe à l'administration, respectivement au juge -</w:t>
      </w:r>
    </w:p>
    <w:p>
      <w:r>
        <w:t>A/2315/2016 - 20/24 - conformément au principe de la libre appréciation des preuves - de confronter les deux évaluations et, au besoin de requérir un complément d'instruction (arrêt du Tribunal fédéral 9C_512/2013 du 16 janvier 2014 consid. 5.2.1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il convient en premier lieu d’examiner le grief relatif au statut de l’assurée. La décision attaquée retient un statut mixte réparti par moitié entre les sphères professionnelle et ménagère, statut que la recourante conteste, en invoquant qu’en bonne santé, elle aurait travaillé à 100%. De jurisprudence constante, le statut de l'assuré dépend du point de savoir si elle aurait exercé une activité lucrative si son état de santé le lui avait permis. En l’occurrence, l’assurée a travaillé comme concierge à 50% dès le mois de juin 2005, c’est-à-dire avant que des arrêts de travail lui soient prescrits, dès novembre 2007, pour une ostéonécrose de la cheville gauche. Tant dans son opposition que durant l’enquête ménagère puis lors de l’audience, l’assurée a déclaré qu’elle avait cherché en 2005 à augmenter son taux d’occupation à 100%, en tentant de compléter son activité de concierge à temps partiel avec celle de garde d’enfant, mais qu’elle n’avait pas pu être engagée dans une telle activité et s’était finalement contentée de son activité de concierge à 50%. Il est vrai que dans son recours, elle a expliqué que si elle n’avait travaillé qu’à temps partiel depuis 2005, c’était parce que le plus jeune de ses enfants n’était âgé que de six ans. Son argumentation s’avère toutefois contradictoire, car si sa volonté était de travailler à temps partiel pour s’occuper de ses enfants, on ne comprend alors pas pourquoi elle aurait recherché une activité à plein temps en 2005, alors qu’elle n’était pas encore atteinte dans sa santé. Au contraire, ses déclarations lors de l’enquête ménagère tendent à démontrer qu’elle n’a pas été en mesure d’être engagée à 100% – sans que cela ne tienne à son état de santé ou à sa situation familiale – et qu’elle s’est dès lors résignée à poursuivre son activité à 50%. Il paraît dès lors invraisemblable qu’en bonne santé, elle aurait travaillé à plein temps. De surcroît, l’intéressée n’a pas un degré de formation ou des qualifications professionnelles telles qu’il serait dans l’ordre des choses qu’elle les mette à profit dans une activité professionnelle à 100%, à son âge – près de 50 ans au moment de la décision attaquée – et après une relativement longue période d’inactivité professionnelle. Enfin, on relèvera que la</w:t>
      </w:r>
    </w:p>
    <w:p>
      <w:r>
        <w:t>A/2315/2016 - 21/24 - décision de refus de prestations qu’avait rendue l’AI en 2009 était déjà fondée sur un statut mixte, que l’assurée n’avait alors pas contesté. Au vu de l'ensemble des circonstances, c’est à bon droit que l’intimé a retenu un statut mixte réparti à raison de 50% pour la sphère professionnelle et de 50% pour la sphère ménagère. b. Par ailleurs et à l’inverse de ce que la recourante semble faire valoir lorsqu’elle se réfère à l’arrêt de la Cour européenne des droits de l'homme Di Trizio contre Suisse, l’application de la méthode mixte d’évaluation de l’invalidité ne conduit pas dans son cas à un résultat discriminatoire. En effet, l’assurée a présenté une seconde demande de prestations AI après s’être vue notifier une première décision négative en 2009, de sorte que la procédure ne relève pas d'une révision du droit aux prestations, singulièrement de l'octroi d'une rente, suivie de la suppression de celle-ci suite à la venue au monde d’enfants. En outre, l’assurée n’assume plus de charge éducative à l'égard de ses enfants, dont elle souligne dans son opposition qu’ils sont désormais « grands » et ne l’empêcheraient pas de travailler à 100% si elle était en bonne santé. En conséquence, la volonté (hypothétique) de travailler à temps partiel ne repose pas sur un motif d'ordre familial, de sorte qu’il n'y a pas de violation du droit au respect à la vie privée et familiale (ATF 143 I 50 consid. 4 ; arrêt du Tribunal fédéral 9C_473/2016 du 25 janvier 2017 consid. 4).</w:t>
      </w:r>
    </w:p>
    <w:p>
      <w:r>
        <w:rPr>
          <w:b/>
        </w:rPr>
        <w:t>E. 12</w:t>
      </w:r>
    </w:p>
    <w:p>
      <w:r>
        <w:t>Sur la base de l’enquête économique du 17 mai 2016, l’intimé a retenu que l’assurée présentait des empêchements totaux de 1% dans ses travaux ménagers. Cette enquête a été élaborée par une infirmière qualifiée en connaissance de la situation locale et spatiale, ainsi que des empêchements et handicaps résultant des diagnostics médicaux. Par ailleurs, ses conclusions quant aux empêchements dans les différents champs d’activité et à l’aide exigible des proches sont motivées : elle décrit précisément les activités que la recourante peut effectuer seule ou délègue au contraire à ses proches, tout comme les solutions trouvées au sein de la famille pour suppléer à ses empêchements. Dans ce contexte, il a été tenu compte des indications de l’assurée et du fait que cette dernière vit avec son époux et ses trois enfants (dont deux sont majeurs), de sorte qu’une participation de ceux-ci aux travaux ménagers peut être exigée, laquelle a été évaluée par l’enquêtrice à 15.3 %. C’est le lieu de rappeler qu’il n’existe pas, selon le Tribunal fédéral, de grandeur limite au-delà de laquelle l'aide des membres de la famille ne serait plus possible. La jurisprudence pose comme critère que l'aide ne saurait constituer une charge excessive, où l'aide des membres de la famille va au-delà du soutien que l'on peut attendre de manière habituelle sans atteinte à la santé (ATF 133 V 504 consid. 4.2 ; 130 V 97 consid. 3.3.3). Or, dans son recours, l’assurée ne prétend pas que ses proches seraient incapables de contribuer aux tâches ménagères dans la mesure retenue. Elle se contente d’affirmer, sans motiver son point de vue, que les taux d'empêchements retenus devraient être augmentés à 50% dans quatre des sept postes examinés par l’enquêtrice. Ce faisant, elle n’invoque aucun élément concret, propre à démontrer d’éventuelles erreurs d’estimation ou inexactitudes qui entacheraient l’enquête.</w:t>
      </w:r>
    </w:p>
    <w:p>
      <w:r>
        <w:t>A/2315/2016 - 22/24 - Partant, il y a lieu de s'en tenir aux empêchements ménagers attestés par ce document, lesquels s’élèvent globalement à 1% en tenant compte de l’aide exigible des proches.</w:t>
      </w:r>
    </w:p>
    <w:p>
      <w:r>
        <w:rPr>
          <w:b/>
        </w:rPr>
        <w:t>E. 13</w:t>
      </w:r>
    </w:p>
    <w:p>
      <w:r>
        <w:t>a. À ce stade, il convient d’examiner la capacité de travail et pour ce faire, de se pencher sur la valeur probante de l’expertise de la CRR. L’intimé a fait siennes les conclusions de ce rapport, à teneur desquelles l’assurée dispose, en tout cas depuis son inscription au chômage, en octobre 2012, d’une capacité de travail de 80% dans son activité antérieure de concierge. Dans toute autre activité n’impliquant pas de déplacements continuels, les experts jugent sa capacité de travail entière. De son côté, la recourante conteste la valeur probante de cette expertise et s’estime totalement incapable d’exercer sa profession antérieure de concierge. Se référant aux rapports de la Dre C______, son médecin traitant, elle pense pouvoir exercer une activité adaptée à 50% seulement, mais avec un rendement diminué. b. La chambre de céans observe que l’expertise de la CRR se fonde sur des examens complets, effectués en connaissance du dossier médical, et prend en considération les plaintes exprimées par l’assurée. Cela étant, force est de constater que les experts ont omis de discuter, dans leur appréciation, des conclusions ressortant du rapport d’observation professionnelle des EPI, lesquelles s’écartent notablement des leurs et soulignent que l’assurée, jugée très volontaire par cet établissement, souffre de limitations somatiques importantes, n’est pas en mesure de rester longtemps debout ou assise et présente un rendement diminué, évalué entre 50% et 70% pour une activité exercée à mi-temps. Les EPI précisent que « la résistance physique [de l’assurée] est faible et qu’elle s’effondre parfois en raison des douleurs, notamment lorsque les gestes sont répétitifs ». Les experts ayant omis de discuter ces conclusions divergentes, leur rapport s’avère lacunaire sur ce point et la chambre de céans ne peut en l’état se fonder sur celui-ci pour statuer définitivement sur la capacité de travail et de gain de l’assurée. Cependant, on ne saurait pas non plus dénier à ce document toute valeur probante, les experts n’ayant simplement pas pris position sur le rapport divergent des EPI. Ainsi que cela a été précédemment exposé, lorsque l'appréciation issue d’une observation professionnelle s’écarte sensiblement de l'appréciation médicale, il convient au besoin de requérir un complément d'instruction (cf. supra consid. 10b). Partant, il y a lieu de renvoyer la cause à l’intimé pour qu’il invite les experts à se déterminer sur les conclusions des EPI et à expliquer les raisons pour lesquelles ils s’y opposent ou au contraire s’y rallient. Ce n’est que lorsque les experts se seront prononcés que leur rapport pourra être considéré comme complet et que sa valeur probante pourra être tranchée. c. Pour le reste, les critiques émises par la recourante et la Dresse C______ contre l’expertise de la CRR s’avèrent largement infondées : l’expert en rhumatologie a tenu compte de l’IRM effectuée en décembre 2009 ainsi que des plaintes de l’assurée, notamment au niveau des mains, mais il a jugé qu’elles ne jouaient pas de rôle dans l’appréciation de sa capacité de travail, étant donné qu’elle n’avait pas</w:t>
      </w:r>
    </w:p>
    <w:p>
      <w:r>
        <w:t>A/2315/2016 - 23/24 - pleinement collaboré à un test de préhension (cf. p. 4 et 5 du volet rhumatologique de l’expertise). L’expert a ainsi précisé « […] de façon incompréhensible, la force de préhension est effondrée, inférieure à 10 mmHg aux deux mai[n]s pour un témoin à plus de 250. Cette absence de collaboration étonne l’investigateur, compte tenu du comportement général de l’assurée ». À ce propos, on ne discerne pas en quoi l’expert en rhumatologie se serait contredit en soulignant que l’assurée avait généralement bien collaboré à l’expertise mais avait fait preuve d’un comportement plus démonstratif lors du test de préhension et lorsqu’elle avait été invitée à évaluer ses douleurs du membre inférieur gauche, ce qui l’a conduit à relativiser certaines plaintes. En outre, la recourante ne saurait reprocher aux experts de ne pas avoir discuté ses céphalées et ses épisodes de « dumping syndrome », alors qu’elle ne s’est précisément pas plainte de tels épisodes – en dehors de gastralgies survenant deux à trois fois par mois, traitées par Buscopan – et a indiqué que ses migraines étaient peu fréquentes et « cédaient à la prise d’un comprimé de Dafalgan » (cf. p. 8 de l’expertise). Enfin, le fait que les médecins de la CRR n’ont pas pris contact avec la Dre C______ avant de rendre leur expertise n’apparaît pas critiquable, du moment qu’ils avaient déjà connaissance des conclusions de cette praticienne par l’entremise des rapports en leur possession, qu’ils ont résumés dans leur anamnèse. Au demeurant, le corps médical dispose d’une large autonomie dans la conduite de ses examens et le juge n’intervient qu’avec retenue lorsqu’il s’agit de remettre en cause la méthodologie utilisée (arrêt du Tribunal fédéral 9C_753/2010 du 22 décembre 2010 consid. 2.3.2 et les références).</w:t>
      </w:r>
    </w:p>
    <w:p>
      <w:r>
        <w:rPr>
          <w:b/>
        </w:rPr>
        <w:t>E. 14</w:t>
      </w:r>
    </w:p>
    <w:p>
      <w:r>
        <w:t>Au vu de ce qui précède, le recours est partiellement admis et la décision du 8 juin 2016, annulée. La cause est renvoyée à l’OAI pour qu’elle complète l’instruction dans le sens des considérants qui précèdent, puis rende une nouvelle décision.</w:t>
      </w:r>
    </w:p>
    <w:p>
      <w:r>
        <w:rPr>
          <w:b/>
        </w:rPr>
        <w:t>E. 15</w:t>
      </w:r>
    </w:p>
    <w:p>
      <w:r>
        <w:t>La recourante obtenant gain de cause, une indemnité de CHF 1’500.- lui est accordée à titre de participation à ses frais et dépens (art. 61 let. g LPGA ; art. 89H al. 3 LPA; art. 6 du règlement sur les frais, émoluments et indemnités en procédure administrative du 30 juillet 1986 - RFPA ; RS E 5 10.03).</w:t>
      </w:r>
    </w:p>
    <w:p>
      <w:r>
        <w:rPr>
          <w:b/>
        </w:rPr>
        <w:t>E. 16</w:t>
      </w:r>
    </w:p>
    <w:p>
      <w:r>
        <w:t>La procédure de recours en matière de contestation portant sur l’octroi ou le refus de prestations de l’assurance-invalidité étant soumise à des frais de justice, un émolument de CHF 200.- est mis à charge de l’intimé (art. 69 al. 1 bis LAI).</w:t>
      </w:r>
    </w:p>
    <w:p>
      <w:r>
        <w:t>****</w:t>
      </w:r>
    </w:p>
    <w:p>
      <w:r>
        <w:t>A/2315/2016 - 24/24 -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