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ATAS/33/2025 vom 21. Januar 2025</w:t>
      </w:r>
    </w:p>
    <w:p>
      <w:r>
        <w:t>GE Cour de justice, 2025-01-21, FR</w:t>
      </w:r>
    </w:p>
    <w:p>
      <w:r>
        <w:rPr>
          <w:b/>
        </w:rPr>
        <w:t xml:space="preserve">Quelle: </w:t>
      </w:r>
      <w:r>
        <w:t>https://mcp.opencaselaw.ch/entscheid/ge_gerichte_ATAS_33_2025</w:t>
      </w:r>
    </w:p>
    <w:p>
      <w:r>
        <w:t>FR: GE_GERICHTE ATAS/33/2025 du 21 janvier 2025</w:t>
      </w:r>
    </w:p>
    <w:p>
      <w:r>
        <w:t>IT: GE_GERICHTE ATAS/33/2025 del 21 gennaio 2025</w:t>
      </w:r>
    </w:p>
    <w:p>
      <w:pPr>
        <w:pStyle w:val="Heading2"/>
      </w:pPr>
      <w:r>
        <w:t>Erwägungen</w:t>
      </w:r>
    </w:p>
    <w:p>
      <w:r>
        <w:rPr>
          <w:b/>
        </w:rPr>
        <w:t>E. 1.1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 RS 832.10). Sa compétence pour juger du cas d’espèce est ainsi établie.</w:t>
      </w:r>
    </w:p>
    <w:p>
      <w:r>
        <w:rPr>
          <w:b/>
        </w:rPr>
        <w:t>E. 1.2</w:t>
      </w:r>
    </w:p>
    <w:p>
      <w:r>
        <w:t>En vertu de la LPGA, un recours peut être formé lorsque l'assureur, malgré la demande de l'intéressé, ne rend pas de décision ou de décision sur opposition (art. 56 al. 2 LPGA). Selon l’art. 4 al. 4 de loi sur la procédure administrative du 12 septembre 1985 (LPA - E 5 10), lorsqu’une autorité mise en demeure refuse sans droit de statuer ou tarde à se prononcer, son silence est assimilé à une décision. Conformément à l’art. 62 al. 6 LPA, une partie peut recourir en tout temps pour déni de justice ou retard non justifié si l’autorité concernée ne donne pas suite rapidement à la mise en demeure prévue à l’art. 4 al. 4.</w:t>
      </w:r>
    </w:p>
    <w:p>
      <w:r>
        <w:rPr>
          <w:b/>
        </w:rPr>
        <w:t>E. 1.3</w:t>
      </w:r>
    </w:p>
    <w:p>
      <w:r>
        <w:t>En l’espèce, le recours pour déni de justice, interjeté par-devant l’autorité compétente (art. 58 al. 1 LPGA), est recevable.</w:t>
      </w:r>
    </w:p>
    <w:p>
      <w:r>
        <w:rPr>
          <w:b/>
        </w:rPr>
        <w:t>E. 1.4</w:t>
      </w:r>
    </w:p>
    <w:p>
      <w:r>
        <w:t>Les recours A/3430/2024 et A/3431/2022 seront joints sous la cause A/3430/2024, en application de l’article 70 LPA.</w:t>
      </w:r>
    </w:p>
    <w:p>
      <w:r>
        <w:t>A/3430/2024 - 6/11 -</w:t>
      </w:r>
    </w:p>
    <w:p>
      <w:r>
        <w:rPr>
          <w:b/>
        </w:rPr>
        <w:t>E. 2</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w:t>
      </w:r>
    </w:p>
    <w:p>
      <w:r>
        <w:rPr>
          <w:b/>
        </w:rPr>
        <w:t>E. 2.1</w:t>
      </w:r>
    </w:p>
    <w:p>
      <w:r>
        <w:t>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qui n'offre à cet égard pas une protection plus étendue que la disposition constitutionnelle (ATF 103 V 190 consid. 2b), est une forme particulière du déni de justice formel (ATF 119 Ia 237 consid. 2).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exemple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117 Ia 117 consid. 3a et 117 Ia 197 consid. 1c ; arrêts du Tribunal fédéral I 819/02 du 23 avril 2003 consid. 2.1 et C 53/01 du 30 avril 2001 consid. 2).</w:t>
      </w:r>
    </w:p>
    <w:p>
      <w:r>
        <w:rPr>
          <w:b/>
        </w:rPr>
        <w:t>E. 2.2</w:t>
      </w:r>
    </w:p>
    <w:p>
      <w:r>
        <w:t>Il y a notamment un retard injustifié si l'autorité reste inactive pendant plusieurs mois, alors que la procédure aurait pu être menée à son terme dans un délai beaucoup plus court. Des périodes d'activités intenses peuvent cependant</w:t>
      </w:r>
    </w:p>
    <w:p>
      <w:r>
        <w:t>A/3430/2024 - 7/11 -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2.2.1</w:t>
      </w:r>
    </w:p>
    <w:p>
      <w:r>
        <w:t>À titre d’exemples, un déni de justice a été admis par la chambre de céans ou antérieurement par le tribunal cantonal des assurances sociales dans un cas où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aucune décision n’avait été rendue dans un délai de plus de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(ATAS/788/2018 du 10 septembre 2018) ; un recourant qui était sans nouvelle de l’OAI vingt et un mois après le dépôt d’une demande de révision (ATAS/860/2006 du 2 octobre 2006). En revanche, elle a nié l’existence d’un déni de justice dans un cas où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l’assurance-accidents n’avait pas versé de prestations à la suite d’une rechute annoncée quinze mois auparavant étant donné que les parties avaient échangé des courriers pendant treize mois dans le but d’aboutir à une solution transactionnelle (ATAS/264/2014 du 5 mars 2014).</w:t>
      </w:r>
    </w:p>
    <w:p>
      <w:r>
        <w:rPr>
          <w:b/>
        </w:rPr>
        <w:t>E. 2.2.2</w:t>
      </w:r>
    </w:p>
    <w:p>
      <w:r>
        <w:t>De son côté, le Tribunal fédéral a nié l’existence d'un retard injustifié notamment dans les cas où : l’OAI n’avait pas rendu de nouvelle décision un peu moins de onze mois après un arrêt de renvoi pour nouveau calcul du montant de la</w:t>
      </w:r>
    </w:p>
    <w:p>
      <w:r>
        <w:t>A/3430/2024 - 8/11 - rente ; il a admis que les prétentions en compensation du service social devaient faire l'objet d'une instruction complémentaire et que se posait également une problématique de chevauchement des indemnités journalières avec le droit à la rente (arrêt du Tribunal fédéral I 241/04 du 15 juin 2006) ; il s'était écoulé environ quinze mois entre le moment où l'assurée avait requis la prise en charge de son reclassement professionnel et la décision de la Caisse suisse de compensation ;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capacité résiduelle, comparaison des revenus, éventuel droit à une rente) ; la cause revêtait en outre une certaine complexité en raison de la nationalité et du domicile de l'assurée ainsi que de l'application d'une convention internationale de sécurité sociale ; le Tribunal fédéral avait rappelé que l'exigence de célérité ne pouvait l'emporter sur la nécessité d'une instruction complète et considéré que, tout au plus, on aurait pu reprocher à la Caisse de compensation d'avoir mené ses investigations de façon peu systématique ; il était ainsi étonnant qu'il ait fallu cinq mois pour constituer un dossier complet à l'intention du médecin-conseil ; une étude préalable et approfondie du cas aurait permis d'éviter les démarches ultérieures en complément d'informations et production de radiographies et, partant, de gagner un certain temps ; ces atermoiements n'avaient cependant, à ce stade, pas retardé de façon intolérable la procédure, ce d'autant plus qu'ils étaient en partie imputables à l'assurée (arrêt du Tribunal fédéral 9C_448/2014 du 4 septembre 2014 consid. 4.2) ; il y avait eu un intervalle d'environ vingt mois entre le moment où l’OAI avait été en mesure de statuer, soit dans les semaines qui avaient suivi la réception de l'avis du SMR, jusqu'au dépôt du recours ;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 ; il s’était écoulé un délai de quelque vingt-six mois entre le dépôt du recours et le prononcé de l’arrêt ; le litige, qui avait pour objet le bien-fondé du refus des prestations complémentaires au motif que le recourant ne bénéficiait pas d’un statut de séjour légal en Suisse, était certes une affaire sans grandes particularités, ni difficultés excessives en matière de prestations complémentaires ; la solution du litige nécessitait cependant une appréciation des différentes pièces du dossier familial du recourant constitué par le service de la population en temps réel, d’où un possible allongement temporel de la procédure d’instruction (arrêt du Tribunal fédéral 9C_220/2022 du 11 août 2022 consid. 2.5 et 2.6). En revanche, il a admis un déni de justice dans un cas où : il s'était écoulé un délai de vingt-quatre mois entre la fin de l'échange d'écritures devant la juridiction cantonale et le dépôt du recours pour déni de justice devant le Tribunal fédéral</w:t>
      </w:r>
    </w:p>
    <w:p>
      <w:r>
        <w:t>A/3430/2024 - 9/11 - dans un litige qui avait uniquement pour objet le taux d'invalidité du recourant et où celui-ci avait circonscrit son argumentation à deux questions ne présentant pas de difficultés particulières (arrêt 8C_613/2009 du 22 février 2010)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w:t>
      </w:r>
    </w:p>
    <w:p>
      <w:r>
        <w:rPr>
          <w:b/>
        </w:rPr>
        <w:t>E. 3</w:t>
      </w:r>
    </w:p>
    <w:p>
      <w:r>
        <w:t>En l’espèce, les recourantes reprochent à l’intimée de tarder à rendre une décision sujette à opposition et de ne pas avoir sollicité plus tôt les informations qu’elle juge désormais nécessaires, relevant qu’elle aurait pu s’enquérir de la situation juridique et factuelle entourant la filiation des enfants dès le mois de mars 2022.</w:t>
      </w:r>
    </w:p>
    <w:p>
      <w:r>
        <w:rPr>
          <w:b/>
        </w:rPr>
        <w:t>E. 3.1</w:t>
      </w:r>
    </w:p>
    <w:p>
      <w:r>
        <w:t>La chambre de céans constate tout d’abord qu’il s’est écoulé quatre mois et demi seulement entre, d’une part, le moment de l’opposition formée le 30 mai 2024 à la suite de la décision de l’intimée du 17 mai 2024 et, d’autre part, l’introduction du recours pour déni de justice le 16 octobre 2024. Un tel laps de temps ne saurait constituer un délai déraisonnable et violer le principe de célérité, ce d’autant plus que l’intimée a mené des investigations durant cet intervalle, étant rappelé qu’elle a saisi l’OFSP le 30 juillet 2024 afin de lui demander un avis juridique sur la question litigieuse. En outre, après avoir obtenu cette prise de position le 19 août 2024, elle a demandé à l’intéressé, le 11 novembre 2024 de lui communiquer un acte officiel constatant la filiation entre le père biologique et les enfants afin de savoir à partir de quelle date l’un des pères avait obtenu l’autorité parentale, laquelle permettait d’affiler les enfants à la LAMal. Les extraits des actes de naissance français communiqués par l’intéressé ne précisant pas cette date, l’intimée a sollicité des informations complémentaires, notamment la production des documents cités dans lesdits extraits et s’est enquis de la reconnaissance en Suisse des documents étrangers, le 6 décembre 2024. Contrairement à ce que soutiennent les recourantes, ces demandes de renseignements, fondées sur la détermination de l’OFSP, ne sauraient être considérées comme inadéquates ou dénuées de pertinence. En outre, si l’OFSP aurait effectivement pu être sollicité avant le prononcé de la décision, il ne saurait être reproché à l’intimée de ne pas l’avoir interpellé plus tôt. Cette démarche, effectuée dans le cadre de la procédure d’opposition, tendait à obtenir un avis juridique supplémentaire sur une question complexe, dès lors que les frais médicaux concernent des soins dispensés au Canada suite à la naissance des enfants dans le cadre d’une maternité de substitution, laquelle est interdite en Suisse. L’intimée n’a donc pas prolongé de façon intolérable la procédure ni procédé à une étude préalable du dossier lacunaire.</w:t>
      </w:r>
    </w:p>
    <w:p>
      <w:r>
        <w:rPr>
          <w:b/>
        </w:rPr>
        <w:t>E. 3.2</w:t>
      </w:r>
    </w:p>
    <w:p>
      <w:r>
        <w:t>Les recourantes se plaignent en réalité surtout du temps pris par l’intimée pour rendre sa décision formelle.</w:t>
      </w:r>
    </w:p>
    <w:p>
      <w:r>
        <w:t>A/3430/2024 - 10/11 - Il ressort des pièces produites que, durant les neuf mois qui se sont écoulés entre la demande de remboursement du 16 août 2023 et le prononcé de la décision formelle du 17 mai 2024, l’intéressé a effectivement régulièrement demandé une prise de position formelle, priant expressément l’intimée de motiver son refus de prise en charge et de lui préciser les bases légales sur lesquelles elle se fondait (cf. correspondances des 23 novembre et 7 décembre 2023, 13 février 2024). À réitérées reprises, celle-ci lui a répondu qu’elle procédait à l’examen de son dossier (cf. courriels des 24 novembre et 18 décembre 2023, 25 mars et 2 mai 2024). Cela étant, dans toutes ses correspondances, elle s’est contentée d’indiquer que la naissance par mère porteuse ne donnait pas droit à des prestations de l’assurance de base, faisant référence au contrat de gestation confidentiel (cf. message du 9 novembre 2023), puis également à l’interdiction de maternité de substitution en Suisse (cf. courriel du 1er décembre 2023 et courrier du 7 février 2024). Malgré l’étude du dossier alléguée, l’intimée n’a pas fait valoir de nouveaux éléments ni n’a argumenté juridiquement sa position, et ce jusqu’au prononcé de la décision du 17 mai 2024, dans laquelle elle a cité les art. 32 et 34 LAMal, et l’art. 36 al. 2 de l’ordonnance sur l'assurance-maladie du 27 juin 1995 (OAMal - RS 832.102). Cela étant, il était loisible aux recourantes de saisir la chambre de céans d’un recours pour déni de justice si elles estimaient que l’intimée tardait à statuer de façon injustifié, ce qu’elles n’ont pas fait.</w:t>
      </w:r>
    </w:p>
    <w:p>
      <w:r>
        <w:rPr>
          <w:b/>
        </w:rPr>
        <w:t>E. 4</w:t>
      </w:r>
    </w:p>
    <w:p>
      <w:r>
        <w:t>Au vu de ce qui précède, le recours sera rejeté. Pour le surplus, en l’absence de loi spéciale prévoyant des frais judiciaires, la procédure est gratuite (art. 61 let. fbis LPGA).</w:t>
      </w:r>
    </w:p>
    <w:p>
      <w:r>
        <w:t>A/3430/2024 - 11/11 - 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