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ATAS/33/2020 vom 21. Januar 2020</w:t>
      </w:r>
    </w:p>
    <w:p>
      <w:r>
        <w:t>GE Cour de justice, 2020-01-21, FR</w:t>
      </w:r>
    </w:p>
    <w:p>
      <w:r>
        <w:rPr>
          <w:b/>
        </w:rPr>
        <w:t xml:space="preserve">Quelle: </w:t>
      </w:r>
      <w:r>
        <w:t>https://mcp.opencaselaw.ch/entscheid/ge_gerichte_ATAS_33_2020</w:t>
      </w:r>
    </w:p>
    <w:p>
      <w:r>
        <w:t>FR: GE_GERICHTE ATAS/33/2020 du 21 janvier 2020</w:t>
      </w:r>
    </w:p>
    <w:p>
      <w:r>
        <w:t>IT: GE_GERICHTE ATAS/33/2020 del 21 gennaio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60 LPGA et 89B de la loi sur la procédure administrative du 12 septembre 1985 ; LPA - E 5 10).</w:t>
      </w:r>
    </w:p>
    <w:p>
      <w:r>
        <w:rPr>
          <w:b/>
        </w:rPr>
        <w:t>E. 3</w:t>
      </w:r>
    </w:p>
    <w:p>
      <w:r>
        <w:t>Le litige porte sur le bien-fondé de la suspension pour neuf jours en raison de son absence injustifiée à un entretien de conseil prévu le 20 février 2019.</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17 al. 3 let. b LACI, l’assuré a l’obligation, lorsque l’autorité compétente le lui enjoint, de participer aux entretiens de conseil, aux réunions d’information et aux consultations spécialisées.</w:t>
      </w:r>
    </w:p>
    <w:p>
      <w:r>
        <w:t>A/3108/2019 - 4/8 - L’art. 22 de l’ordonnance sur l’assurance-chômage obligatoire et l’indemnité en cas d’insolvabilité du 31 août 1983 (OACI - RS 837.02) prévoit que le premier entretien de conseil et de contrôle doit avoir lieu au plus tard quinze jours après que l’assuré s’est présenté à la commune ou à l’office compétent en vue du placement (al. 1) ; l’office compétent a au moins un entretien de conseil et de contrôle par mois avec chaque assuré. Lors de cet entretien, il contrôle l’aptitude au placement de l’assuré et examine si celui-ci est disposé à être placé (al. 2) ; l’office compétent convoque à un entretien de conseil et de contrôle tous les deux mois au moins les assurés qui exercent une activité à plein temps leur procurant un gain intermédiaire ou une activité bénévole relevant de l’art. 15 al. 4 LACI (al. 3) ; il convient avec l’assuré de la manière dont il pourra être atteint en règle générale dans le délai d’un jour (al. 4). Selon l’art. 25 al. 1 let. d OACI, l’office compétent décide à la demande de l’assuré de déplacer la date de son entretien de conseil et de contrôle s’il apporte la preuve qu’il ne peut se libérer à la date convenue en raison d’un événement contraignant, notamment parce qu’il doit se déplacer pour se présenter à un employeur. Le courrier type de convocation à un entretien de conseil précise que toute absence injustifiée entraîne une suspension de l’éventuel droit de l’assuré aux indemnités de chômage et qu’en cas d’empêchement, il faut avertir le conseiller en personnel au moins 24 heures à l’avance.</w:t>
      </w:r>
    </w:p>
    <w:p>
      <w:r>
        <w:rPr>
          <w:b/>
        </w:rPr>
        <w:t>E. 5</w:t>
      </w:r>
    </w:p>
    <w:p>
      <w:r>
        <w:t>L’art. 30 al. 1 LACI dispose que le droit de l’assuré à l’indemnité est suspendu notamment lorsqu’il est établi que celui-ci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 a donné des indications fausses ou incomplètes ou a enfreint, de quelque autre manière, l’obligation de fournir des renseignements spontanément ou sur demande et d’aviser (let. e). L’assuré qui a oublié de se rendre à un entretien de conseil et qui s’en excuse spontanément ne peut pas être suspendu dans l’exercice de son droit à l’indemnité si l’on peut admettre, par ailleurs, au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Même une négligence légère dans l’accomplissement de l’obligation de renseigner peut entraîner une sanction (DTA 2007 p. 210).</w:t>
      </w:r>
    </w:p>
    <w:p>
      <w:r>
        <w:t>A/3108/2019 - 5/8 -</w:t>
      </w:r>
    </w:p>
    <w:p>
      <w:r>
        <w:rPr>
          <w:b/>
        </w:rPr>
        <w:t>E. 6</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5 OACI, si l’assuré est suspendu de façon répétée dans son droit à l’indemnité, la durée de suspension est prolongée en conséquence. Les suspensions subies pendant les deux dernières années sont prises en compte dans le calcul de la prolongation. En tant qu’autorité de surveillance, le Secrétariat d’État à l’économie (ci-après :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le barème du SECO, lorsque l’assuré n’observe pas les instructions de l’OCE, en ne se rendant notamment pas à un entretien de conseil, sans excuse valable, l’autorité doit infliger une sanction de 5 à 8 jours lors du premier manquement et de 9 à 15 jours lors du second manquement. Dès le troisième manquement, le dossier doit être renvoyé pour décision à l’autorité cantonale (Bulletin LACI IC/D79.3A). En cas d’inobservation d’autres instructions de l’ORP, la suspension est de 3 à 10 jours pour un premier manquement.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w:t>
      </w:r>
    </w:p>
    <w:p>
      <w:r>
        <w:t>A/3108/2019 - 6/8 -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Devant la chambre de céans, il n’est pas contesté que le recourant a démontré, par certificat médical du 28 mars 2019, avoir été malade lors de l’entretien du 20 février 2019. L’intimé reproche cependant au recourant de n’avoir pas avisé sa conseillère en personnel de son empêchement de se présenter au rendez-vous. En l’occurrence, le courrier type de convocation à un entretien de conseil précise que toute absence injustifiée entraîne une suspension de l’éventuel droit de l’assuré aux indemnités de chômage et qu’en cas d’empêchement, il faut avertir le conseiller en personnel au moins 24 heures à l’avance. De ces indications, valant prescriptions de contrôle, résulte implicitement qu’un empêchement survenant quasiment au dernier moment devait être communiqué sans délai au conseiller en personnel, dans toute la mesure du possible avant même le rendez-vous fixé. Dans ces conditions, il peut être reproché au recourant de ne pas avoir averti sa conseillère du fait qu’il ne se rendrait pas au rendez-vous. Pour cette raison, c’est à juste titre que l’intimé a considéré que le recourant n’avait, de façon fautive, pas respecté les instructions de l’autorité. Quant à la quotité de la suspension du droit à l’indemnité, arrêtée à neuf jours par l’intimé, elle correspond au minimum de la sanction fixée par le barème du SECO, pour un deuxième manquement lorsque l’assuré n’observe pas les instructions de l’OCE, en ne se rendant notamment pas à un entretien de conseil, sans excuse valable, et se situe dans la fourchette des sanctions en cas d’inobservation d’autres instructions de l’ORP, pour la première fois. En cela, la sanction tient compte, dans l’appréciation de la faute, du fait que le recourant était malade le jour des faits, ce qui a certainement joué un rôle dans son omission d’informer. Il s’agit par ailleurs d’un troisième manquement, étant rappelé que lorsqu’un assuré est suspendu de façon répétée dans son droit à l’indemnité, la durée de suspension est prolongée en conséquence, même s’il s’agit de sanctions se rapportant à des manquements différents. Dans ces conditions, on ne saurait faire grief à l’intimé d’avoir mésusé de son pouvoir d’appréciation, la sanction fixée entrant dans la catégorie des fautes légères, de sorte que la chambre de céans ne saurait, dans le cas d’espèce, justifier par des motifs sérieux et pertinents qui auraient été ignorés de l’autorité intimée, une modification de la sanction infligée, laquelle respecte le principe de la proportionnalité.</w:t>
      </w:r>
    </w:p>
    <w:p>
      <w:r>
        <w:rPr>
          <w:b/>
        </w:rPr>
        <w:t>E. 9</w:t>
      </w:r>
    </w:p>
    <w:p>
      <w:r>
        <w:t>Infondé, le recours sera rejeté.</w:t>
      </w:r>
    </w:p>
    <w:p>
      <w:r>
        <w:t>A/3108/2019 - 7/8 - La procédure est gratuite (art. 61 let. a LPGA). * * * * * *</w:t>
      </w:r>
    </w:p>
    <w:p>
      <w:r>
        <w:t>A/3108/2019 - 8/8 -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