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ATAS/33/2017 vom 23. Januar 2017</w:t>
      </w:r>
    </w:p>
    <w:p>
      <w:r>
        <w:t>GE Cour de justice, 2017-01-23, FR</w:t>
      </w:r>
    </w:p>
    <w:p>
      <w:r>
        <w:rPr>
          <w:b/>
        </w:rPr>
        <w:t xml:space="preserve">Quelle: </w:t>
      </w:r>
      <w:r>
        <w:t>https://mcp.opencaselaw.ch/entscheid/ge_gerichte_ATAS_33_2017</w:t>
      </w:r>
    </w:p>
    <w:p>
      <w:r>
        <w:t>FR: GE_GERICHTE ATAS/33/2017 du 23 janvier 2017</w:t>
      </w:r>
    </w:p>
    <w:p>
      <w:r>
        <w:t>IT: GE_GERICHTE ATAS/33/2017 del 23 gennaio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la question de savoir si c'est à juste titre que l'intimé a nié le droit de l'assuré à une rente d'invalidité – le cas échéant en lui déniant le droit à des mesures de réadaptation professionnelle, et singulièrement en retenant un taux d'invalidité de 36%, alors que le recourant estime qu'il est totalement incapable de travailler et aurait droit à une rente d'invalidité entière.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A/4319/2015 - 23/36 -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A/4319/2015 - 24/36 -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w:t>
      </w:r>
    </w:p>
    <w:p>
      <w:r>
        <w:t>A/4319/2015 - 25/36 -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Selon la jurisprudence, le juge appelé à connaître de la légalité d'une décision rendue par les organes de l'assurance sociale doit apprécier l'état de fait déterminant existant au moment où la décision litigieuse a été rendue (ATF 121 V 366 consid. 1b et les arrêts cités ; ATF 131 V 407 consid. 2.1.2.1).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A/4319/2015 - 26/36 -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11</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A/4319/2015 - 27/36 -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w:t>
      </w:r>
    </w:p>
    <w:p>
      <w:r>
        <w:t>A/4319/2015 - 28/36 -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w:t>
      </w:r>
    </w:p>
    <w:p>
      <w:r>
        <w:t>A/4319/2015 - 29/36 -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12</w:t>
      </w:r>
    </w:p>
    <w:p>
      <w:r>
        <w:t>En l'espèce le recourant conteste la décision entreprise, considérant implicitement que c'est à tort que l'OAI a retenu un taux d'invalidité ne lui donnant pas droit à une rente, en retenant une capacité résiduelle de travail de 85 % avec une diminution de rendement de 10 % soit, de 75 %, alors qu'il estime que son incapacité totale de travail est avérée. Il suggère que, malgré une incapacité de travail avérée, l'OAI, pendant une procédure qui a duré plus de cinq ans, n'a pas jugé bon d'assurer correctement le suivi de ce dossier.</w:t>
      </w:r>
    </w:p>
    <w:p>
      <w:r>
        <w:rPr>
          <w:b/>
        </w:rPr>
        <w:t>E. 13</w:t>
      </w:r>
    </w:p>
    <w:p>
      <w:r>
        <w:t>Pour le reste du reproche que semble faire le recourant à l'intimé, par rapport à la durée de la procédure et un prétendu manque de suivi, la chambre de céans relève que le recourant ne fait que se «poser la question» mais n'étaye nullement son grief par des éléments concrets, et n'en tire aucune conséquence au niveau de ses conclusions. Force est toutefois de constater que la procédure a certes duré un</w:t>
      </w:r>
    </w:p>
    <w:p>
      <w:r>
        <w:t>A/4319/2015 - 30/36 - certain temps, mais on ne saurait reprocher à l'intimé d'avoir particulièrement tardé à rendre sa décision au vu de la relative complexité du cas, - complexité que les propres médecins traitants du recourant mettaient d'ailleurs en avant, notamment dans les contacts qu'ils ont pu avoir avec le service médical de l'OAI: il ressort ainsi d'une note du SMR du 22 août 2011, suite à un entretien téléphonique avec le médecin traitant généraliste, que ce dernier expliquait à son confrère qu'il s'agissait d'un « cas complexe » avec polyplaintes, rendant difficile pour lui d'entrevoir une capacité de travail. Il ne savait plus très bien quoi faire. À ceci s'ajoute encore que le dossier AI - même si le recours ne porte que sur la demande de rente/mesures de réadaptation professionnelle - a comporté pendant la période de 2010 à 2015, l'examen parallèle de plusieurs demandes de prestations, soit en plus de celle faisant l'objet de cette procédure, deux demandes de moyens auxiliaires, (prothèses auditives, d'abord à gauche, puis à droite). Or l'instruction de ces demandes supplémentaires ont aussi pris un certain temps: pour ne prendre que deux exemples: malgré d'innombrables rappels et relances, l'OAI n'a jamais pu obtenir de l'ORL traitant le rapport d'expertise nécessaire à l'instruction de la demande de prothèse à droite; au point que l'OAI a dû constater que le Dr B______ n'était pas en mesure de répondre à la demande de l'office, et a dû inviter l'assuré à désigner un autre spécialiste, sur la base d'une liste qui lui a été fournie. Le recourant n'a lui- même réagi qu'après de nombreux rappels. Certes, l'OAI a également rencontré de grosses difficultés avant de pouvoir obtenir le rapport de l'expert ORL (Dr T______) qu'il avait désigné pour se prononcer sur les éventuelles causes de limitations de la capacité de travail d'origine ORL. Mais l'OAI n'est pas resté inactif à ce sujet. Au contraire, et comme on va le voir, l'OAI a instruit le dossier avec diligence, ayant, par la force des choses et vu la multiplicité des plaintes du recourant, dû ordonner plusieurs expertises médicales, notamment en raison des contradictions relevées par le SMR entre les avis des divers médecins ayant eu à connaître de ce cas, notamment les médecins traitants et le médecin-conseil de l'assureur perte de gain. Enfin, le recourant lui-même a bien dû admettre que même si, pendant de nombreuses années, depuis 2009, il a été examiné par de très nombreux médecins, de spécialités différentes, personne n'était véritablement à même de trouver l'origine de ses maux: entendu par la chambre de céans, il a en effet déclaré avoir commencé dès 2009, à avoir des vertiges et autres problèmes de santé. Les ORL avaient diagnostiqué une maladie de Ménière. Il avait également eu d’importantes céphalées. Il avait énormément souffert et personne ne comprenait l’origine de ses douleurs. Il avait pris des quantités de médicaments, notamment à base d’opium, pour tenter de se soulager. Il cherchait toujours l’origine de ses souffrances sans qu’aucun médecin n’ait pu lui donner une explication. Il avait même été traité au centre de la douleur à Beau-Séjour et c'était finalement le Dr Y______ qui avait trouvé que l’origine de ses souffrances pouvait être dû à un implant dentaire qu'au lui avait placé à la clinique dentaire en 2008. Et finalement, on lui avait enlevé cet implant en 2015. Une semaine après, la douleur avait commencé à diminuer.</w:t>
      </w:r>
    </w:p>
    <w:p>
      <w:r>
        <w:t>A/4319/2015 - 31/36 - Ainsi, c'est bien à tort que le recourant se plaint de la longueur de la procédure, aucun grief ne pouvant être fait à cet égard à l'intimé.</w:t>
      </w:r>
    </w:p>
    <w:p>
      <w:r>
        <w:rPr>
          <w:b/>
        </w:rPr>
        <w:t>E. 14</w:t>
      </w:r>
    </w:p>
    <w:p>
      <w:r>
        <w:t>Reste à examiner le grief principal du recourant, soit le fait que l'OAI ne lui ait pas reconnu une incapacité totale de travail, et en conséquence une invalidité entière. a. A l'appui de son recours, le recourant invoque en premier lieu le rapport des HUG du 10 juin 2015, relevant que le Dr Y______ conclu qu'au niveau professionnel il estime que le patient est en incapacité totale pour son métier comme employé de commerce de formation et qu'il n'y a pas de possibilité d'adaptation. Force est d'une part de constater que le rapport en question fait la synthèse d'un bilan multidisciplinaire suite à la consultation au centre de la douleur des HUG, et décrit la mise en place du plan de traitement qui s'en est suivi. D'une part, il ne s'agit pas d'un document nouveau: il avait en effet été produit par l'assuré, avant que ne soit prise la décision entreprise, et il avait été soumis au SMR. Dans son rapport du 24 septembre 2015, le service médical avait conclu que les diagnostics mentionnés ne modifiaient pas le rapport SMR concernant la capacité de travail; le SMR proposait en revanche d'élargir les limitations fonctionnelles en lien avec les cervicalgies et les lombalgies. Ainsi cette pièce médicale a bien été prise en compte par l'intimé, mais n'était pas de nature à modifier la capacité de travail retenue (0 % dans l'activité habituelle et 85 % avec une baisse de rendement de 10 % dans une activité adaptée). Ceci dit, ce rapport ne remet nullement en cause les conclusions des divers experts qui se sont prononcés dans le cadre de l'instruction du dossier: il reprend des diagnostics qui étaient déjà connus et qui avaient déjà été pris en compte par les experts respectifs, y compris, en ce qui concerne le diagnostic de céphalées de tension chroniques, par le dernier expert en date, le Dr V______, neurologue: en effet, même si ce dernier a rendu son rapport le 16 février 2015, soit avant la rédaction du document litigieux, l'expert indiquait notamment dans son rapport que le tableau clinique avait motivé un bilan neurologique chez le Dr M______ en septembre 2010, et chez le Dr X______ en avril 2012 (pour le détail voir ci-dessus ad ch. 25 en fait). L'expert V______ notait déjà à ce moment-là que l'assuré était pris en charge par le Centre de la Douleur des HUG, et qu'un traitement de Saroten avait été prescrit. Il concluait que la céphalée de tension ne peut être considérée comme potentiellement invalidante. Le fait que le Dr Y______ ait entre temps attribué la cause de ces céphalées à l'implant dentaire posé en 2008 n'y change rien. Indépendamment du fait que l'on ne saurait, selon les critères de la jurisprudence, accorder à ce rapport du 10 juin 2015 une pleine valeur probante, l'affirmation de l'incapacité totale de travail dans l'activité professionnelle de l'assuré n'étant pas motivée, le Dr Y______ ne se prononçant au demeurant pas sur une capacité de travail résiduelle, ce document ne comporte aucun élément susceptible de mettre en doute les constatations des experts s'étant prononcés, chacun dans sa spécialité, sur le cas en question. Il ne faut pas négliger non plus le fait qu'il a été établi par un médecin (traitant) dont la mission est très différente de celle d'un expert.</w:t>
      </w:r>
    </w:p>
    <w:p>
      <w:r>
        <w:t>A/4319/2015 - 32/36 - b. S'agissant du deuxième document médical invoqué par l'assuré à l'appui de son recours soit le certificat médical établi le 25 novembre 2015 par le Dr B______, ORL traitant: non seulement ce document ne dit rien de plus que ce qui a déjà été écrit par ce praticien, mais il en dit encore moins que ce que le recourant prétend dans ses écritures : ce dernier prétend en effet que le document produit mentionnerait son incapacité de travail, ce qui n'est pas même le cas. En tout état, on constatera que ce médecin traitant ne remet ni directement ni indirectement en cause les conclusions des experts, n'apporte rien de plus aux éléments médicaux connus et pris en compte au moment de la décision entreprise, respectivement par les divers experts désignés par l'intimé en son temps, qui ont tenu compte de l'avis de l'ORL traitant, dans leurs avis et rapports d'experts respectifs. c. Il en va du reste de même du certificat médical du Dr C______, du 22 décembre 2015, produit par le recourant en complément à son recours. Ce médecin évoque, certes, pour la première fois, ce qu'il n'avait pas fait préalablement, les céphalées de tension chroniques post cure de couronne dentaire 25 en 2008, mais cet élément a d'ores et déjà été évoqué ci-dessus. Pas plus que l'avis de l'ORL traitant, l'interniste traitant ne se prononce sur la prétendue incapacité de travail du recourant: ces médecins traitants se contentent l'un et l'autre d'énumérer les diagnostics déjà connus et pris en compte dans le cadre de l'instruction de la cause par l'intimé. Au- delà du fait que ces certificats médicaux n'apportent rien de nouveau qui n'aurait été pris en compte avant la décision entreprise, par l'OAI, respectivement par son service médical, ils ne sauraient revêtir une valeur probante au sens des critères dégagés par la jurisprudence rappelée ci-dessus, et ne sauraient remettre en cause par des éléments probants et objectivables les conclusions des experts.</w:t>
      </w:r>
    </w:p>
    <w:p>
      <w:r>
        <w:rPr>
          <w:b/>
        </w:rPr>
        <w:t>E. 15</w:t>
      </w:r>
    </w:p>
    <w:p>
      <w:r>
        <w:t>Il n'en demeure pas moins que le juge des assurances sociales saisi d'un recours est tenu d'instruire d'office les faits de la cause, et à ce titre, il doit vérifier notamment si les documents médicaux sur lesquels l'intimé s'est fondé pour rendre la décision dont est recours peuvent se voir reconnaître une pleine valeur probante au sens de la jurisprudence rappelée précédemment. a. En l'espèce on rappelle qu'il s'agit d'abord des rapports des experts qui se sont successivement prononcés, soit : le Dr P______, sur le plan psychiatrique - qui ne peut retenir d'incapacité de travail pour des motifs psychiatriques – (voir ci-dessus , ch. 15 en fait); le Dr Q______ - qui retient que sur le plan rhumatologique, l'incapacité de travail de l'assuré est de 15 % depuis janvier 2010, avec diminution de rendement de 10 %, tant par rapport à la profession exercée en dernier lieu, que par rapport à une activité adaptée aux limitations somatiques retenues (voir ci- dessus, ch. 18 en fait); le Dr V______ - concluant que sur le plan neurologique l'assuré ne présente aucune atteinte à la santé ayant des répercussions sur la capacité de travail (voir ci-dessus , ch. 25 en fait). La chambre des assurances sociales considère, sur la base de la description très complète qu'elle a retenue de ces rapports (ch. 15, 18 et 25 en fait) que les rapports d'expertise de ces trois experts peuvent se voir reconnaître une pleine valeur probante. Ces médecins sont tous des</w:t>
      </w:r>
    </w:p>
    <w:p>
      <w:r>
        <w:t>A/4319/2015 - 33/36 - spécialistes reconnus, leurs rapports sont fondés sur une pleine connaissance du dossier, prenant en compte les plaintes de l'expertisé, et aboutissant à des conclusions convaincantes exemptes de contradictions les experts ayant justifié de façon motivée leurs conclusions et, le cas échéant expliqué pourquoi ils se distançaient des conclusions de certains médecins ayant eu l'occasion de connaître du cas ou au contraire pourquoi ils se ralliaient aux conclusions de leurs confrères. Aucun indice concret ne permet de mettre en cause le bien-fondé de chacune de leurs conclusions, de sorte que la chambre de céans leur reconnaîtra pleine valeur probante. b. S'agissant du Dr T______, spécialiste ORL reconnu lui aussi, et désigné comme expert par l'intimé n'a, en revanche, et à la différence de ses homologues spécialistes des autres domaines, pas rendu un véritable rapport d'expertise répondant aux caractéristiques formelles rappelées par la jurisprudence citée précédemment, de sorte qu'en tant que tel, il ne peut pas sans autre se voir reconnaître une pleine valeur probante, en tant que tel. La chambre de céans estime néanmoins que l'on ne saurait sans autre dénier toute valeur probante à son rapport de consultation spécialisée, ainsi que le qualifie d'ailleurs le SMR. Comme il l'indique lui-même, ce spécialiste a procédé à un bilan ORL du patient. Il a clairement identifié les atteintes dont se plaint l'assuré, sur le plan ORL. S'agissant des hémicrânies persistantes, il les a mises en relation avec une dysfonction douloureuse de l'articulation temporo-mandibulaire, proposant un examen maxillo- facial pour discuter de l'indication à la confection d'une gouttière dentaire. A cet égard, il n'est pas inutile d'observer que cette voie paraît proche de celle qui conduira le Dr Y______ à trouver, semble-t-il, l'origine des maux du recourant (implant dentaire de 2008). Le Dr T______ a retenu également comme utile une prise en charge physiothérapeute utile dans ce contexte. S'agissant des vertiges persistants de longue date, ils évoquent selon lui un vertige positionnel paroxystique bénin, peu invalidant, la manœuvre de Hallpicke étant négative. Il mentionne finalement le SAS connu depuis cinq ans, observant que le traitement par CPAP a été proposé par son pneumologue, mais le patient ne supporte pas le port du masque. Sur le plan ORL, il n'a pas de traitement médical ou chirurgical à proposer pour cet aspect. Il relève enfin que les trois pathologies différentes peuvent avoir des répercussions sur la capacité de travail, mais celles-ci devraient être limitées et transitoires avec un traitement bien suivi. Ces pathologies ne sont pas responsables de l'incapacité de travail prolongée du patient, dont les causes principales de ses limitations, ou son incapacité à exercer son activité professionnelle semblent être son état dépressif, ses problèmes ostéo-articulaires et ses névralgies sur lesquels il ne peut se prononcer, n'étant pas spécialiste de ces domaines. Il n'empêche toutefois que ses conclusions n'ont pas été en tant que telles remises en cause par le recourant, pas plus d'ailleurs que par son ORL traitant. Et si l'on prend en définitive en compte le fait que finalement la cause des divers maux dont le recourant s'est plaint pendant de nombreuses années doit être attribuée aux conséquences d'un implant posé en 2008 - preuve en soit le fait qu'ayant été retiré</w:t>
      </w:r>
    </w:p>
    <w:p>
      <w:r>
        <w:t>A/4319/2015 - 34/36 - en 2015, cette intervention a eu des conséquences quasi immédiates sur la diminution très sensible des douleurs et troubles dont se plaignait le recourant -, l'appréciation de ce médecin était pertinente, et ne saurait donc être ignorée en tant que telle. À la différence de l'ORL traitant, le Dr T______ ne se trouvait pas dans une relation thérapeutique avec le recourant. Du reste l'ORL traitant lui-même n'a pas toujours eu des positions cohérentes, en particulier s'agissant de son appréciation sur la capacité de travail de son patient : il indique en effet au SMR, en mars 2011, que la situation du patient était stabilisée depuis juin 2010, celui-ci présentant selon lui depuis cette époque-là une capacité de travail de 50 %. Cela ne l'a toutefois pas empêché, dans son rapport du 24 avril 2014, retenant alors comme diagnostic avec effet sur la capacité de travail celui de maladie de Ménière avec vertiges probablement antérieurs à 2008 et comme diagnostics sans effet sur la capacité de travail d'acouphènes, SAS, reflux, céphalées, depuis 2008, de conclure alors, sans la moindre motivation, une incapacité de travail de 100 % dès le 17 mars 2010, pour une durée indéterminée.</w:t>
      </w:r>
    </w:p>
    <w:p>
      <w:r>
        <w:rPr>
          <w:b/>
        </w:rPr>
        <w:t>E. 16</w:t>
      </w:r>
    </w:p>
    <w:p>
      <w:r>
        <w:t>Ainsi, au vu de ce qui précède, la chambre des assurances sociales considère que c'est à juste titre que l'intimé a retenu en définitive et conformément à l'avis du SMR dans son rapport du 16 mars 2015, conformé par le rapport complémentaire du 24 septembre 2015 , que l'assuré disposait d'une incapacité de travail totale dans son activité habituelle dès l'échéance du délai d'attente d'un an, mais d'une capacité de travail de 85 % avec diminution de rendement de 10 % dans une activité adaptée à ses limitations fonctionnelles telles que les activités administratives et les emplois de bureau.</w:t>
      </w:r>
    </w:p>
    <w:p>
      <w:r>
        <w:rPr>
          <w:b/>
        </w:rPr>
        <w:t>E. 17</w:t>
      </w:r>
    </w:p>
    <w:p>
      <w:r>
        <w:t>On notera encore, bien que la comparaison des revenus telle qu'opérée par l'intimé ne fasse pas l'objet d'une contestation en tant que telle par le recourant, que les revenus sans invalidité pris en compte, la méthode de détermination du revenu avec invalidité,, soit la table TA7 ligne 22 ESS 2011 et le niveau 4 - niveau d'activités simples et répétitives -, et la réduction supplémentaire de 10 % tenant compte de l'âge et du fait que l'intéressé travaillait à temps partiel, sont conformes à la jurisprudence susmentionnée, les calculs aboutissant à la détermination d'un taux d'invalidité de 36.44 % arrondis à 36 % étant justes: il convient en effet d'observer que c'est bien un revenu sans invalidité de CHF 79'278.- qui doit être pris en compte pour le calcul - conformément aux précisions données en bas de page 2 quant au revenu sans invalidité -, et non pas CHF 78'278.- (erreur de plume en milieu de page 2 de la décision entreprise).</w:t>
      </w:r>
    </w:p>
    <w:p>
      <w:r>
        <w:rPr>
          <w:b/>
        </w:rPr>
        <w:t>E. 18</w:t>
      </w:r>
    </w:p>
    <w:p>
      <w:r>
        <w:t>Au vu de ce qui précède, le recours est en tous points infondé. Cette conclusion s'impose d'autant plus que si l'on en croit les déclarations du recourant en comparution personnelle devant la chambre de céans ( « …. Le Dr Y______ m’a dit que cet implant avait abimé tous mes nerfs jusqu’à l’oreille interne et les mâchoires. Aujourd’hui, mon problème a bien diminué, je souffre encore quelques fois par semaine, mais sur une échelle de 10, je peux dire que, de 8 à 9, mes douleurs ont diminué à 3 ou 4. Si je suis ici, c’est pour que justice me soit rendue</w:t>
      </w:r>
    </w:p>
    <w:p>
      <w:r>
        <w:t>A/4319/2015 - 35/36 - par rapport à tout ce que j’ai souffert : pour voir si on peut trouver une solution pour me réconforter. En effet, avec tout cela, j’ai perdu mon travail, j’ai eu des problèmes financiers, qui eux-mêmes ont provoqué des tensions avec mon épouse ».), il semble ainsi qu'en définitive, le recourant ait saisi la chambre de céans pour des motifs qui tiennent plus à la volonté d'obtenir la réparation d'un dommage que lui auraient fait subir ceux qui lui ont posé un implant, en 2008, - cet aspect échappant totalement à la compétence de la chambre de céans - qu'à une véritable contestation de la décision de l'OAI.</w:t>
      </w:r>
    </w:p>
    <w:p>
      <w:r>
        <w:rPr>
          <w:b/>
        </w:rPr>
        <w:t>E. 19</w:t>
      </w:r>
    </w:p>
    <w:p>
      <w:r>
        <w:t>Pour toutes ces raisons le recours sera rejeté. Etant donné que depuis le 1er juillet 2006, la procédure n'est plus gratuite (art. 69 al. 1bis LAI), il y a lieu de condamner le recourant au paiement d'un émolument de 200 fr.</w:t>
      </w:r>
    </w:p>
    <w:p>
      <w:r>
        <w:t>A/4319/2015 - 36/36 -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