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ATAS/339/2017 vom 2. Mai 2017</w:t>
      </w:r>
    </w:p>
    <w:p>
      <w:r>
        <w:t>GE Cour de justice, 2017-05-02, FR</w:t>
      </w:r>
    </w:p>
    <w:p>
      <w:r>
        <w:rPr>
          <w:b/>
        </w:rPr>
        <w:t xml:space="preserve">Quelle: </w:t>
      </w:r>
      <w:r>
        <w:t>https://mcp.opencaselaw.ch/entscheid/ge_gerichte_ATAS_339_2017</w:t>
      </w:r>
    </w:p>
    <w:p>
      <w:r>
        <w:t>FR: GE_GERICHTE ATAS/339/2017 du 2 mai 2017</w:t>
      </w:r>
    </w:p>
    <w:p>
      <w:r>
        <w:t>IT: GE_GERICHTE ATAS/339/2017 del 2 maggio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recours a été formé, compte tenu des féries de Pâques du 20 mars au 3 avril 2016, dans le délai et selon la forme prescrits (art. 38 al. 4 let .c LPGA, 60 et 61 let. b LPGA; art. 62 al. 1 de la de loi sur la procédure administrative du 12 septembre 1985 [LPA - E 5 10]).</w:t>
      </w:r>
    </w:p>
    <w:p>
      <w:r>
        <w:rPr>
          <w:b/>
        </w:rPr>
        <w:t>E. 4</w:t>
      </w:r>
    </w:p>
    <w:p>
      <w:r>
        <w:t>Le litige porte sur le droit de l’intimé à une rente d’invalidité, singulièrement sur la valeur probante du rapport du Dr F______ du 16 novembre 2015.</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w:t>
      </w:r>
    </w:p>
    <w:p>
      <w:r>
        <w:t>A/1216/2016 - 7/21 -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b/aa.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b/bb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voir pour la définition du trouble somatoforme douloureux CIM-10: F45.4). C'est d'ailleurs la raison pour laquelle il n'est pas rare de voir certains médecins poser indistinctement l'un ou</w:t>
      </w:r>
    </w:p>
    <w:p>
      <w:r>
        <w:t>A/1216/2016 - 8/21 -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w:t>
      </w:r>
    </w:p>
    <w:p>
      <w:r>
        <w:rPr>
          <w:b/>
        </w:rPr>
        <w:t>E. 7</w:t>
      </w:r>
    </w:p>
    <w:p>
      <w:r>
        <w:t>a. La reconnaissance de l'existence de troubles somatoformes douloureux persistants suppose d'abord la présence d'un diagnostic émanant d'un expert (psychiatre) et s'appuyant lege artis sur les critères d'un système de classification reconnu (ATF 130 V 396 consid. 5.3). b.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w:t>
      </w:r>
    </w:p>
    <w:p>
      <w:r>
        <w:t>A/1216/2016 - 9/21 - composante psychique aux douleurs qui revêtirait une importance déterminante au regard de la limitation de la capacité de travail. c.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w:t>
      </w:r>
    </w:p>
    <w:p>
      <w:r>
        <w:rPr>
          <w:b/>
        </w:rPr>
        <w:t>E. 8</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w:t>
      </w:r>
    </w:p>
    <w:p>
      <w:r>
        <w:t>A/1216/2016 - 10/21 -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w:t>
      </w:r>
    </w:p>
    <w:p>
      <w:r>
        <w:t>A/1216/2016 - 11/21 -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t>A/1216/2016 - 12/21 -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9</w:t>
      </w:r>
    </w:p>
    <w:p>
      <w:r>
        <w:t>a.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w:t>
      </w:r>
    </w:p>
    <w:p>
      <w:r>
        <w:t>A/1216/2016 - 13/21 -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 d’autres termes,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 de l'assuré (VSI 2000 p. 155 consid. 3).</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A/1216/2016 - 14/21 - description des interférences médicales soit claire et enfin que les conclusions de l'expert soient bien motivées (ATF 125 V 351 consid. 3). b/aa.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Dans ce contexte, il y a lieu de relever que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 b/bb. 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A teneur de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 bis LAI et 49 al. 1 RAI) ou examiner les assurés au sein du SMR (art. 49 al. 2 RAI). L’OAI peut</w:t>
      </w:r>
    </w:p>
    <w:p>
      <w:r>
        <w:t>A/1216/2016 - 15/21 -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contre-propositions. A noter que l’art. 43 al. 2 LPGA prévoit que l’assuré doit se soumettre à des examens médicaux ou techniques si ceux-ci sont nécessaires à l’appréciation du cas et qu’ils peuvent être raisonnablement exigés.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ATF 135 V 465 consid. 4.3 et ss; aussi arrêts du Tribunal fédéral I 143/07 du 14 septembre 2007 consid. 3.3 et 9C_55/2008 du 26 mai 2008 consid. 4.2 avec références, concernant les cas où le service médical n'examine pas l'assuré mais se limite à apprécier la documentation médicale déjà versée au dossier).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b/dd.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A/1216/2016 - 16/21 -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A noter que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w:t>
      </w:r>
    </w:p>
    <w:p>
      <w:r>
        <w:rPr>
          <w:b/>
        </w:rPr>
        <w:t>E. 12</w:t>
      </w:r>
    </w:p>
    <w:p>
      <w:r>
        <w:t>En l’espèce, le diagnostic de fibromyalgie a été évoqué par le Dr D______ dans son rapport du 10 juin 2014. Pour cette raison, l’OAI a, sur préconisation de son SMR, mandaté le Dr F______ pour examiner le recourant. Il y a donc lieu d’examiner la valeur probante de ce document. a. A titre liminaire, la chambre de céans constate que la qualité en laquelle le Dr F______ a examiné le recourant n’est pas claire. En effet, dans son avis du 18 décembre 2014, le Dr E______, médecin auprès du SMR, a considéré qu’il convenait de soumettre le recourant à un examen SMR psychiatrique. Si le rapport du 16 novembre 2015 n’a pas été rédigé sur le papier à entêtes du SMR, il n’en demeure pas moins que l’un des titres allégués par le Dr F______ est celui d’« ancien médecin SMR ». A cela s’ajoute le fait que selon le registre des professions médicales (https://www.medregom.admin.ch/fr) tenu par l’office fédéral de la santé publique (OFSP), le médecin précité apparaît comme médecin- conseil avec notamment pour adresse celle de l’office de l’assurance-invalidité pour le canton de Vaud. Au vu de ces éléments, il convient de considérer que le Dr F______ a agi en tant que médecin du SMR, de sorte qu’il a réalisé un examen sur la personne au sens de l’art. 49 al. 2 RAI. Il ne s’agit donc pas d’une expertise au sens de l’art. 44 LPGA. Cela ne signifie cependant pas pour autant que la valeur probante dudit document doit être niée. Elle doit simplement être examinée conformément aux réquisits jurisprudentiels généraux. a/bb. Cela étant précisé, force est de constater que le rapport du Dr F______ daté du</w:t>
      </w:r>
    </w:p>
    <w:p>
      <w:r>
        <w:rPr>
          <w:b/>
        </w:rPr>
        <w:t>E. 16</w:t>
      </w:r>
    </w:p>
    <w:p>
      <w:r>
        <w:t>novembre 2015, remplit sur le plan formel toutes les exigences auxquelles la jurisprudence soumet la valeur probante d'un tel document. Il contient un résumé du dossier, une anamnèse détaillée, les indications subjectives du recourant, des observations cliniques, ainsi qu’une discussion générale du cas. Ses conclusions,</w:t>
      </w:r>
    </w:p>
    <w:p>
      <w:r>
        <w:t>A/1216/2016 - 17/21 - qui résultent d'une analyse complète de la situation médicale, sont claires, bien motivées et convaincantes. Sur le fond, le Dr F______ a écarté le diagnostic de troubles somatoformes douloureux, pour deux motifs. Il a tout d’abord considéré que les douleurs étaient expliquées par un diagnostic somatique, la fibromyalgie, ce qui excluait le diagnostic de troubles somatoformes. Certes, le médecin précité a également estimé que le diagnostic de fibromyalgie devait être confirmé par un rhumatologue. Cette petite contradiction n’est toutefois pas pertinente en l’espèce, dès lors que le Dr F______ a également écarté le diagnostic de trouble somatoforme douloureux en raison des critères, lesquels n’étaient pas réunis. En effet, le médecin précité a constaté que l’attention du recourant n’était pas orientée vers des douleurs corporelles pendant la plupart du temps, mais au contraire vers sa situation sociale difficile et sa douleur psychique et morale en résultant. Le Dr F______ a également expliqué pour quels motifs il avait considéré que les critères plaidant en faveur d’un état dépressif majeur n’étaient pas réunis. Enfin, le médecin susmentionné a considéré que l’angoisse anticipatoire de faire des crises de douleur pouvait être codée dans deux diagnostics psychiques, à savoir sous trouble anxieux et dépressif (F41.2) et sous trouble hypocondriaque (F45.2). Dans ce contexte, le Dr F______ a relevé que le recourant présentait une certaine fixation de type hypocondriaque sur une maladie somatique dont il n’arrivait pas à observer les effets, dès lors que pendant les deux heures qu’a duré l’examen, le recourant n’avait fait montre d’aucun comportement douloureux. Il résulte de ce qui précède que le Dr F______ a expliqué de manière circonstanciée les raisons pour lesquelles il n’avait pas retenu les diagnostics posés par le Dr C______ mais d’autres. Le Dr F______ a également expliqué de manière convaincante que la situation était surtout due au fait que le recourant avait fait faillite et qu’il avait depuis lors honte de cette situation et de sa chute sociale. L’assuré disposait toutefois de bonnes ressources. Il était intelligent et avait été en mesure de mener à bien des projets complexes et difficiles dans un contexte compétitif et exigeant. Il ne montrait pas d’attitude particulièrement caractérielle et disposait d’une bonne capacité d’analyse. Il disposait d’une énergie vitale importante. S’il montrait une souffrance psychologique intense vécue comme telle, celle-ci restait essentiellement contextuelle et n’était pas issue d’une maladie psychiatrique. Il était dès lors en mesure de faire l’effort nécessaire pour surmonter ses difficultés psychiques et faire le nécessaire pour sortir de la situation sociale actuelle. En d’autres termes, le Dr F______ a considéré que la situation du recourant était essentiellement due à des facteurs psychosociaux et non à une maladie psychique. Pour lui, si la psychothérapie et les assistants sociaux, en collaboration avec l’Hospice général, arrivaient à guider le recourant vers les démarches nécessaires pour surmonter son sentiment de honte et sa fierté voire régulariser son domicile pour pouvoir bénéficier des prestations sociales, le pronostic n’était pas mauvais.</w:t>
      </w:r>
    </w:p>
    <w:p>
      <w:r>
        <w:t>A/1216/2016 - 18/21 - b. Le Dr F______ ne s’est toutefois pas prononcé sur le caractère invalidant de la fibromyalgie compte tenu des nouveaux critères détaillés à l’ATF 141 V 281, rendu le 3 juin 2015, soit antérieurement à la réalisation de l’expertise. Se pose dès lors la question de savoir si une expertise psychiatrique complémentaire est nécessaire. Tel ne sera pas le cas si l’expertise déjà rendue permet de déterminer si la fibromyalgie est invalidante – ou non – au regard des nouveaux critères jurisprudentiels. S’agissant de l’atteinte à la santé, le Dr D______ a mentionné une fibromyalgie et un état dépressif sévère, lesquels entraînaient des répercussions sur la capacité de travail. Sur le plan psychique, le Dr F______ n’a retenu aucun diagnostic susceptible d’entraver la capacité de travail du recourant. Quant au Dr C______, s’il a dans un premier temps posé le diagnostic d’état dépressif sévère, il a expliqué par la suite, notamment dans un rapport du 24 février 2016, que ledit état dépressif s’était stabilisé en une dysthymie. Dans ces circonstances, on ne saurait donc retenir un état dépressif sévère comme le prétend le recourant. Le traitement administré sur le plan psychique a été couronné de succès dès lors que l’état dépressif s’est amélioré au point de se stabiliser en une dysthymie laquelle est caractérisée selon la CIM-10 par un abaissement chronique de l'humeur, persistant au moins plusieurs années, mais dont la sévérité est insuffisante ou dont la durée des différents épisodes est trop brève pour justifier un diagnostic de trouble dépressif récurrent, sévère, moyen ou léger (F34.1). En revanche, sur le plan somatique, les traitements n’ont pas été couronnés de succès, le recourant peinant à admettre qu’il devait vivre avec ses douleurs. Le Dr F______ n’a pas relevé de troubles cognitifs. Les plaintes subjectives de diminution de la concentration et de l’attention n’ont notamment pas pu être confirmées objectivement. Il n’y avait pas du tout de fatigabilité mentale pathologique. En effet, après plus de deux heures d’entretien, l’attention, la concentration et le rendement mental du recourant étaient identiques à ce qu’ils étaient au début de l’exploration. Par ailleurs, sa pensée était plutôt fluide, rapide et bien structurée. Le recourant arrivait toujours au but et témoignait d’une intelligence normale. Ces éléments viennent corroborer le fait qu’il disposait de ressources personnelles préservées. S’agissant du contexte social, force est de constater que le recourant est séparé de son épouse et qu’il habite chez son frère. Toutefois, tous les quinze jours, il exerce son droit de visite. Il est dès lors entouré par ses proches. Ses préoccupations restent strictement contextuelles, en lien avec les prestations de l’Hospice général. Il sort pour se rendre « chez les services » ou chez les médecins. Il n’est donc pas totalement isolé. Quant au poids de la souffrance du recourant, force est de constater que le Dr F______ a constaté que les plaintes du recourant n’étaient pas orientées vers des douleurs physiques, mais vers sa situation difficile et la souffrance psychiquement</w:t>
      </w:r>
    </w:p>
    <w:p>
      <w:r>
        <w:t>A/1216/2016 - 19/21 - douloureuse y liée. Pour le médecin précité, le recourant présentait une certaine fixation de type hypocondriaque sur une maladie somatique dont il n’arrivait pas à observer les effets, le recourant n’ayant montré aucun comportement douloureux pendant les deux heures de l’examen. En définitive, l’expertise du Dr F______ permet de confirmer, en application de la nouvelle jurisprudence, l’absence de caractère invalidant de la fibromyalgie dont souffre le recourant, sans qu’un complément d’expertise ne soit nécessaire. Bien plus, comme cela a été relevé ci-dessus, le médecin précité a considéré que le recourant disposait des ressources nécessaires pour surmonter ses difficultés et rechercher un emploi. En réalité, le recourant ne se sentait pas en mesure de rechercher un emploi, étant tellement préoccupé par le cercle vicieux social dans lequel il se trouvait. Il s’agit donc d’une problématique purement contextuelle, ce qui a été rappelé à plusieurs reprises par le Dr F______, problématique qui n’est pas du ressort de l’assurance-invalidité. Au vu de ce qui précède, il doit également être considéré que la fibromyalgie – pour autant que ce diagnostic puisse être confirmé par un rhumatologue – ne serait pas invalidante, le recourant disposant quoi qu’il en soit des ressources nécessaires pour surmonter ses douleurs et se réinsérer professionnellement. 13. Pour sa part, le recourant conteste les conclusions de l’expertise du Dr F______ en se référant à un avis du Dr C______ du 20 avril 2016.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L’appréciation du Dr C______ du 20 avril 2016 ne répond pas aux réquisits jurisprudentiels permettant de lui reconnaître pleine valeur probante. En effet, si le médecin précité pose un nouveau diagnostic, celui d’autre modification durable de la personnalité, il ne précise pas sur quels éléments il se fonde, se contentant en réalité de répéter l’anamnèse personnelle et professionnelle du recourant. Si l’appréciation en question comporte une description des plaintes du recourant, elle ne donne aucune indication quant aux constatations cliniques. A noter que l’appréciation de la situation par le psychiatre traitant rejoint celle du Dr F______. En effet, le Dr C______ a considéré, dans son rapport du 11 avril 2014, qu’en raison d’une mauvaise gestion du magasin avec faillite, toute la famille du recourant s’était retrouvée dans une situation critique et que c’était dans ce contexte que la dépression grave et la somatisation étaient devenues les seules issues pour le recourant qui était incapable de faire face à son échec et à la faillite</w:t>
      </w:r>
    </w:p>
    <w:p>
      <w:r>
        <w:t>A/1216/2016 - 20/21 - de l’entreprise. Ce faisant, il a admis que la situation du recourant était surtout contextuelle. En outre, il a considéré, dans son courrier du 24 février 2016 que l’état dépressif sévère s’était stabilisé en une dysthymie, ce qui revient à nier une atteinte incapacitante. Au vu des considérations qui précèdent, force est de constater que le recourant n’a pas été en mesure de faire valoir des éléments objectifs précis justifiant, d'un point de vue médical, d'envisager la situation selon une perspective différente, de sorte qu’aucune instruction complémentaire ne sera ordonnée. Il convient donc de retenir que le rapport du Dr F______ du 16 novembre 2015 dispose d’une pleine valeur probante et de considérer que le recourant ne souffre d’aucune atteinte incapacitante sur le plan psychique et que ses ressources personnelles sont suffisantes pour lui permettre de surmonter ses douleurs et de retrouver un emploi. 14. Au vu de ce qui précède, le recours sera rejeté. Etant donné que depuis le 1er juillet 2006, la procédure n'est plus gratuite (art. 69 al. 1bis LAI), il y a lieu de condamner le recourant au paiement d'un émolument de CHF 200.-. C’est le lieu de préciser que la pratique de la chambre de céans - et auparavant du TCAS - est de dispenser du paiement d’un émolument les personnes au bénéfice de l’assistance juridique (ATAS/302/2010 du 23 mars 2010 ; voir également les ATAS 546/2012 du 25 avril 2012 et ATAS/953/2009 du 24 juillet 2009). Or, dans la mesure où le recourant n’a ni requis et encore moins obtenu l’assistance juridique, il n’y a pas lieu de le dispenser des frais.</w:t>
      </w:r>
    </w:p>
    <w:p>
      <w:r>
        <w:t>A/1216/2016 - 21/21 -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