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ATAS/339/2013 vom 8. April 2013</w:t>
      </w:r>
    </w:p>
    <w:p>
      <w:r>
        <w:t>GE Cour de justice, 2013-04-08, FR</w:t>
      </w:r>
    </w:p>
    <w:p>
      <w:r>
        <w:rPr>
          <w:b/>
        </w:rPr>
        <w:t xml:space="preserve">Quelle: </w:t>
      </w:r>
      <w:r>
        <w:t>https://mcp.opencaselaw.ch/entscheid/ge_gerichte_ATAS_339_2013</w:t>
      </w:r>
    </w:p>
    <w:p>
      <w:r>
        <w:t>FR: GE_GERICHTE ATAS/339/2013 du 8 avril 2013</w:t>
      </w:r>
    </w:p>
    <w:p>
      <w:r>
        <w:t>IT: GE_GERICHTE ATAS/339/2013 del 8 aprile 2013</w:t>
      </w:r>
    </w:p>
    <w:p>
      <w:pPr>
        <w:pStyle w:val="Heading2"/>
      </w:pPr>
      <w:r>
        <w:t>Erwägungen</w:t>
      </w:r>
    </w:p>
    <w:p>
      <w:r>
        <w:rPr>
          <w:b/>
        </w:rPr>
        <w:t>E. 1</w:t>
      </w:r>
    </w:p>
    <w:p>
      <w:r>
        <w:t>a)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prestations du 31 mars 2010 en raison d'une incapacité de travail de la recourante depuis 2009.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 6 octobre 2006 (5ème révision de la LAI), entrées en vigueur le 1er janvier 2008. En revanche, les modifications de la LAI du 18 mars 2011, en vigueur depuis le 1er janvier 2012 (6ème révision), ne sont pas applicables au cas d'espèce, en application du principe précité.</w:t>
      </w:r>
    </w:p>
    <w:p>
      <w:r>
        <w:rPr>
          <w:b/>
        </w:rPr>
        <w:t>E. 2</w:t>
      </w:r>
    </w:p>
    <w:p>
      <w:r>
        <w:t>a) L'art. 69 al. 1 LAI prévoit que les décisions des offices AI cantonaux peuvent faire directement l'objet d'un recours devant le tribunal des assurances du canton de l'office qui a rendu la décision. b) En l'espèce, l'OCAI a communiqué à l'assuré un projet de décision en date du 26 août 2011, qui a été confirmé par la décision du 16 mai 2012, contre laquelle l'assurée a interjeté directement recours devant la Chambre des assurances sociales de la Cour de justice.</w:t>
      </w:r>
    </w:p>
    <w:p>
      <w:r>
        <w:t>A/1827/2012 - 7/18 - c) Interjeté dans les forme et délai prévus par la loi, devant l'autorité compétente, le recours est en conséquence recevable (art. 56 ss LPGA).</w:t>
      </w:r>
    </w:p>
    <w:p>
      <w:r>
        <w:rPr>
          <w:b/>
        </w:rPr>
        <w:t>E. 3</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4</w:t>
      </w:r>
    </w:p>
    <w:p>
      <w:r>
        <w:t>a) Selon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 La rente est échelonnée selon le taux d’invalidité (al. 2) : 40 % au moins donne droit à un quart de rente; 50 % au moins à une demie rente; 60 % au moins à un trois quarts de rente et 70 % au moins à une rente entière. b)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 Selon l'art. 88a RAI, en vigueur depuis le 1er mars 2004, si la capacité de gain ou la capacité d’accomplir les travaux habituels d’un assuré s’améliore ou que son impotence ou le besoin de soins découlant de l’invalidité s’atténue, il y a lieu de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considérer que ce changement supprime, le cas échéant, tout ou partie de son droit les travaux habituels ou l’impotence ou le besoin de soins découlant de l’invalidité d’un assuré s’aggrave, il y a lieu de considérer que ce changement accroît, le cas échéant, son droit aux prestations dès qu’il a duré trois</w:t>
      </w:r>
    </w:p>
    <w:p>
      <w:r>
        <w:t>A/1827/2012 - 8/18 - mois sans interruption notable. L’art. 29bis est toutefois applicable par analogie (al. 2). Une décision par laquelle l'assurance-invalidité accorde une rente d'invalidité avec effet rétroactif et, en même temps, prévoit l'augmentation, la réduction ou la suppression de cette rente, correspond à une décision de révision au sens de l'art. 17 LPGA (ATF 125 V 417 ss. consid. 2d et les références). Aux termes de cette disposition, si l'invalidité d'un bénéficiaire de rente se modifie de manière à influencer le droit à la rente, celle-ci est, pour l'avenir, augmentée, réduite ou supprimée.</w:t>
      </w:r>
    </w:p>
    <w:p>
      <w:r>
        <w:rPr>
          <w:b/>
        </w:rPr>
        <w:t>E. 5</w:t>
      </w:r>
    </w:p>
    <w:p>
      <w:r>
        <w:t>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b)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c)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(arrêt I 198/97 du 7 juillet 1998 consid. 3b et les</w:t>
      </w:r>
    </w:p>
    <w:p>
      <w:r>
        <w:t>A/1827/2012 - 9/18 -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d)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w:t>
      </w:r>
    </w:p>
    <w:p>
      <w:r>
        <w:rPr>
          <w:b/>
        </w:rPr>
        <w:t>E. 6</w:t>
      </w:r>
    </w:p>
    <w:p>
      <w:r>
        <w:t>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w:t>
      </w:r>
    </w:p>
    <w:p>
      <w:r>
        <w:t>A/1827/2012 - 10/18 - contenté d'une telle rémunération de manière durable (cf. AJP 2002 1487; RCC 1992 p. 96 consid. 4a).</w:t>
      </w:r>
    </w:p>
    <w:p>
      <w:r>
        <w:rPr>
          <w:b/>
        </w:rPr>
        <w:t>E. 7</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w:t>
      </w:r>
    </w:p>
    <w:p>
      <w:r>
        <w:t>A/1827/2012 - 11/18 -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rPr>
          <w:b/>
        </w:rPr>
        <w:t>E. 8</w:t>
      </w:r>
    </w:p>
    <w:p>
      <w:r>
        <w:t>a) En l'espèce, l'expertise judiciaire du Dr R_________ répond aux critères jurisprudentiels précités pour qu'il lui soit reconnu une pleine valeur probante. Le rapport se fonde sur deux entretiens avec la recourante et un entretien téléphonique avec le psychiatre-traitant. L'anamnèse est détaillée, les plaintes de la recourante sont prises en compte, les diagnostics sont clairs et bien motivés. En particulier, l'expert a discuté le point de vue du Dr P_________ en expliquant pour quelles raisons il ne pouvait suivre celui-ci lorsqu'il niait tout diagnostic psychiatrique ayant une incidence sur la capacité de travail de la recourante. Les limitations retenues par le Dr R_________ sont l'instabilité émotionnelle, le manque de confiance, la crainte de ne pas être à la hauteur avec la présence de procédures de longue préparation/vérification, l'impulsivité, le manque de persévérance, la difficulté à délimiter et investir son propre territoire et envahir le territoire d'autrui. L'expert a relevé que la recourante présentait un dysfonctionnement relationnel, social et professionnel depuis son adolescence. Il a expliqué qu'il ne retenait pas le diagnostic d'anorexie mentale atypique (F50.1) car</w:t>
      </w:r>
    </w:p>
    <w:p>
      <w:r>
        <w:t>A/1827/2012 - 12/18 - celui-ci n'était qu'un symptôme du trouble de la personnalité, lequel était sévère et entraînait des actes impulsifs, des troubles du comportement, une sensibilité paranoïde. S'ajoutait à cela une symptomatologie anxieuse qui permettait de poser le diagnostic d'anxiété généralisée (F41.1). On constate que le Dr R_________ mentionne de nouvelles atteintes depuis une année (depuis le jour de l'expertise de décembre 2012, soit depuis décembre 2011), soit un trouble panique F41.0 et une boulimie. A cet égard, le Dr P_________ avait en effet indiqué qu'il n'y avait jamais eu de vomissements provoqués (expertise P_________ p. 6 et 10) alors que le Dr R_________ le mentionne précisément (expertise R_________ p. 8), ce qui correspond bien à une aggravation de la symptomatologie depuis l'expertise du Dr P_________. Cela étant, le Dr R_________ a estimé que les atteintes existantes depuis 2007 entrainaient à elles seules déjà une incapacité de travail totale. b) La Cour de céans constate que l'expertise du Dr P_________, qui ne retient aucun diagnostic avec incidence sur la capacité de travail de la recourante, n'est pas convaincante et ne permet pas de remettre en cause les conclusions claires de l'expertise judiciaire. Le Dr R_________ a tout d'abord relevé qu'il était surprenant de constater que le Dr P_________, sur la base de l'anamnèse qu'il avait recueillie, ne retenait aucun trouble de la personnalité et semblait attribuer au parcours professionnel de la recourante une valeur importante comme si celui-ci s'était déroulé normalement, avec des activités menées avec un rendement réel. Le Dr P_________ ne pouvait être suivi lorsqu'il excluait des dysfonctionnements internes et durables dans le domaine des cognitions, de l'affectivité, du contrôle des impulsions et interpersonnel depuis l'adolescence. Il a émis le doute sur la connaissance par le Dr P_________ de l'importance des mauvais traitements, du rejet et de l'exclusion à répétition subi par la recourante (expertise R_________ p. 12). A cet égard, la Cour de céans constate en effet que selon le Dr P_________ la grossesse de la mère de la recourante est indiquée comme étant sans complications, sans autre mention (expertise P_________ p. 5) alors que le Dr R_________ relève que la recourante n'était pas désirée par ses parents et que sa mère, enceinte, se frappait le ventre pour provoquer un avortement et avait recommencé à fumer (expertise R_________ p. 4). Par ailleurs, le Dr P_________ déduit du fait que l'assurée aurait été à même, d'une part, de mener deux formations professionnelles et, d'autre part, de s'intégrer dans le monde du travail, l'absence de dysfonctionnements intenses et durables dans le domaine des cognitions (perception de soi et de l'environnement), de l'affectivité, du contrôle des impulsions ou dans le domaine interpersonnel depuis l'adolescence au plus tard, soit des dysfonctionnements se manifestant dans tout type de situations et qui auraient pu être à l'origine d'une souffrance personnelle ou d'un impact nuisible sur</w:t>
      </w:r>
    </w:p>
    <w:p>
      <w:r>
        <w:t>A/1827/2012 - 13/18 - l'environnement social. En réalité la recourante a effectué un apprentissage d'employée de bureau de 1985 à 1987, lequel correspondait à une période chaotique au cours de laquelle elle avait obtenu sa deuxième année par dérogation (expertise P_________ p. 29). Le Dr R_________ relate à cet égard que ses notes étaient catastrophiques et le rapport avec sa patronne difficile (expertise R_________ p. 6). Elle a certes ensuite, entre 2001 et 2003, suivi une formation en économie familiale soit une formation visant la réinsertion professionnelle (www.edu.ch) mais la formation suivante s'est limitée à une durée de quatre mois en 2008 et concernait uniquement une remise à niveau en secrétariat. On ne saurait, comme l'a fait le Dr P_________ déduire de ces deux formations, l'absence de problèmes psychiatriques. On constate ensuite qu'hormis l'activité d'aide vendeuse de quatre mois et demi en 1984/1985 puis auprès de X__________ de 1987 et 1991, soit de 17 à 24 ans, la recourante ne s'est jamais réinsérée professionnellement mais a uniquement assumé des activités très partielles, d'abord bénévoles, puis rémunérées mais dans le cadre d'un stage (Y__________), puis pour la parfumerie XD_________ (à raison de 20 minutes par jour) et enfin de courts emplois à l'Office Z__________, au Département XA_______ et pour XB__________ SA, qu'elle n'a pas été en mesure de conserver. C'est ainsi à juste titre que le Dr R_________ a relevé que la recourante n'avait plus montré de rendement professionnel depuis l'âge de 24 ans (expertise R_________ p. 13). Ensuite, le Dr P_________ n'est pas convaincant lorsqu'il nie tout diagnostic psychiatrique ayant une répercussion sur la capacité de travail. En effet, il admet par ailleurs la présence depuis 2008 de changement d'emploi en rapport avec des comportements dysfonctionnels de la recourante eux-mêmes en lien avec une décompensation d'un état anxieux sous la forme de trouble des conduites alimentaires (expertise P_________ p. 9); il reconnaît aussi la présence de conditions défavorables de l'enfance ayant été à l'origine d'une mauvaise structuration psychique ainsi que l'existence d'une hérédopathie importante (plusieurs membres de sa famille présentant des atteintes psychiques) de sorte que la recourante présentait une vulnérabilité psychique (expertise P_________ p. 10). Le Dr P_________ relève en outre qu'il n'y a pas de fatigue psychique ni physique (expertise P_________ p. 10) alors que dans le déroulement du quotidien la recourante a indiqué avoir arrêté la course à pied en raison d'une fatigue physique (expertise P_________ p. 7). Ensuite, l'anxiété constatée n'entraînerait pas de trouble de la concentration (la recourante comprenait et répondait aux questions sans hésitation ou temps de latence anormalement accru), ni de trouble de l'attention ou de trouble de la mémoire. Il conclut à l'absence de limitations fonctionnelles et diminution de rendement dans l'activité habituelle en l'absence de ralentissement idéomoteur, de trouble de l'attention, de la concentration ou de la mémoire (expertise P_________ p. 12). Or, dans le chapitre intitulé "déroulement du quotidien" il a mentionné que la recourante disait aussi beaucoup lire mais ne le faisait pas en raison de problèmes de concentration (expertise P_________ p. 7),</w:t>
      </w:r>
    </w:p>
    <w:p>
      <w:r>
        <w:t>A/1827/2012 - 14/18 - que dans celui des "plaintes et symptômes" il relate qu'elle faisait état de trouble de la concentration et de trouble de la mémoire (elle devait tout noter) (expertise P_________ p. 8), que dans l'anamnèse professionnelle, il a noté que la recourante avait doublé à l'école primaire et au cycle en raison de difficultés d'apprentissage et de manque d'attention, et qu'elle avait présenté des difficultés de concentration alors qu'elle travaillait comme enseignante puis aussi au moment de sa formation de secrétaire de direction (expertise P_________ p. 2-3). Dans le même sens, le Dr R_________ a mentionné que la recourante se plaignait de fatigue, de troubles de la concentration, de la mémoire, de la nécessité de vérifier à plusieurs reprises si elle respectait son programme (expertise R_________ p. 8-9); il a notamment retenu dans ses observations cliniques une faiblesse du Moi, un manque de confiance, une incapacité à structurer ses actions et sa pensée et une tendance à se disperser. Dans l'étude du dossier il relève que le Dr P_________ a lui-même clairement mentionné le problème de concentration de la recourante (expertise R_________ p. 12-13). Ces problèmes de concentration sont retenus par l'expert R_________ comme limitation fonctionnelle (longs processus de vérification avec diminution de rendement - expertise R_________ p. 15). Ainsi, les conclusions du Dr P_________ quant à l'absence chez la recourante de trouble de la concentration, de l'attention et de difficulté à structurer sa pensée et ses actions ne sont pas convaincantes, ce d'autant que le Dr P_________ n'explique pas en quoi les plaintes de la recourante relativement aux difficultés précitées qu'il a lui-même résumé dans son expertise, ne sont pas retenues. Par ailleurs, selon le Dr R_________, la recourante a toujours eu des problèmes d'intégration sociale (expertise R_________ p. 11) alors que le Dr P_________ relève un étayage social préservé (expertise P_________ p. 11), un processus de socialisation qui s'est déroulé normalement avec une bonne intégration dans le groupe de ses pairs (expertise P_________ p. 5), ce qui relève d'une interprétation différente de l'anamnèse et qui ne permet pas de considérer que le Dr R_________ a mal évalué la situation, ce d'autant que le Dr P_________, dans le parcours professionnel de la recourante, rejoint le Dr R_________ en relevant plusieurs situations conflictuelles de la recourante avec ses supérieurs ou ses collègues ainsi qu'avec sa mère, son père, ses enfants et son époux. c) S'agissant des critiques émises par le SMR (avis du 21 février 2013), elles ne sont pas non plus à même de remettre en cause la force probante de l'expertise judiciaire. Tout d'abord le SMR estime que l'anamnèse n'est pas identique dans les deux expertises et insinue que la recourante aurait modifié son récit lors des entretiens avec le Dr R_________ du fait qu'elle avait entre temps pris connaissance de la décision de refus de rente. Le SMR mentionne des différences évidentes quant à la</w:t>
      </w:r>
    </w:p>
    <w:p>
      <w:r>
        <w:t>A/1827/2012 - 15/18 - vie professionnelle, les raisons de plusieurs changements de poste de travail, la description de la personnalité du mari, la vie sentimentale et le déroulement du quotidien. Ces remarques sont cependant infondées. En premier lieu, le parcours scolaire résumé dans les deux expertises relate les mêmes difficultés d'apprentissage ayant entraîné des doublements à l'école primaire et au cycle et un apprentissage difficile, puis les difficultés rencontrées par la recourante avec ses collègues de X________ (expertises P_________ p. 2 et R_________ p. 6). L'emploi comme bénévole à l'école des parents qui s'est terminé en raison de conflit (expertise R_________ p. 7) n'est pas du tout cité par le Dr P_________, de sorte qu'on ne saurait invoquer une anamnèse divergente. Quant à l'activité d'enseignante, seul le Dr P_________ a relevé des difficultés liées à cet emploi (expertise P_________ p. 2 et R_________ p. 7). Il en est de même s'agissant du stage auprès du Y__________. Ensuite, les difficultés liées à la mauvaise ambiance lors du stage à l'Office Z________ et aux difficultés personnelles de la recourante lors du stage au Département XA________ sont évoquées par les deux experts (expertises P_________ p. 3 et R_________ p. 7). A cet égard, le certificat de XE_________ du 31 janvier 1985 utilisé par le SMR au titre de preuve d'une bonne intégration professionnelle n'est ainsi pas pertinent dès lors qu'il se rapporte à un emploi de 4 mois et demi seulement alors que la recourante était très jeune, soit âgée de 17 ans. En second lieu, s'agissant de la description de la personnalité du mari, le Dr P_________ mentionne un conflit survenu déjà quatre ans après le mariage, avec velléités de séparation, puis un divorce en 2007 en raison d'une mésentente et de relations extraconjugales du mari (expertise P_________ p. 5). Or, la description du Dr R_________ n'est pas différente puisque celui-ci relève que la relation de couple est difficile et mouvementée avec de nombreuses ruptures et réconciliations, l'époux ayant des tendances maniaco-dépressives et vivant plusieurs relations extraconjugales (expertise R_________ p. 6-7). Enfin, s'agissant de la vie sentimentale de la recourante le Dr P_________, au jour de l'expertise le 27 juillet 2011, décrit une relation de la recourante avec un ami depuis décembre 2010, soit depuis environ huit mois, avec une personne décrite comme soutenante et compréhensive (expertise P_________ p. 6). Quant au Dr R_________, au jour de l'expertise le 6 décembre 2012, soit environ un an et demi après celle du Dr P_________, explique que la relation débutée deux ans auparavant s'effrite, l'ami de la recourante ayant fait un récent burn out et ne supportant que difficilement l'instabilité émotionnelle de la recourante (expertise R_________ p. 7). A cet égard et contrairement aux sous-entendus du SMR, on ne voit pas en quoi l'évolution défavorable de la relation sentimentale évoquée par la recourante en juillet 2011 impliquerait une anamnèse erronée et orientée en 2012.</w:t>
      </w:r>
    </w:p>
    <w:p>
      <w:r>
        <w:t>A/1827/2012 - 16/18 - Enfin, le SMR n'explique pas en quoi le déroulement du quotidien aurait été décrit de façon différente par le Dr P_________ et le Dr R_________ (le SMR évoquant des "différences évidentes"). S'agissant des diagnostics, le SMR relève que le Dr L_________ a uniquement posé celui d'anorexie atypique (F50.1) dans son avis du 4 mai 210 et que celui de trouble grave de la personnalité n'est mentionné que le 30 août 2010. Or, ce dernier diagnostic a été posé par le Dr M_________ et non pas par le Dr L_________. On ne voit pas en quoi le fait que le premier médecin, lequel n'a d'ailleurs assuré un suivi que du 2 juin au 22 décembre 2009 de la recourante, n'ait pas immédiatement posé le diagnostic de trouble de la personnalité impliquerait que celui-ci soit posé ensuite à tort. S'agissant du trouble de la personnalité, le SMR estime que s'il avait existé, les structures spécialisées genevoises auraient inévitablement repéré la problématique psychique de la recourante à l'époque de sa scolarisation. Or, le Dr R_________ a estimé que non seulement le parcours scolaire et l'apprentissage de la recourante avaient été difficiles mais que les ressources psychoaffectives faibles du milieu d'origine n'avaient pas permis la mise en évidence de sa souffrance et de son dysfonctionnement et que ses ressources, naturellement plus vigoureuses, dynamiques et énergiques lorsqu'elle était jeune, avaient pu masquer les failles (expertise R_________ p. 14). S'agissant du traitement, le Dr R_________ a mentionné qu'un antidépresseur le Cipralex avait été introduit en 2006 mais, mal supporté, avait été remplacé par du Jarsin 300 (millepertuis) puis par de l'Efexor, de sorte que la remarque du SMR au sujet du traitement, outre qu'elle n'est pas précise, n'est pas adéquate, la recourante ayant, depuis 2006, tenté un traitement médicamenteux qui soit le plus adapté et efficace à sa problématique. Au surplus, l'anxiété généralisée a été observée par le Dr R_________, lequel a estimé contrairement à l'avis du Dr P_________ que les critères pour poser un tel diagnostic étaient réalisés, ce qui relève d'une appréciation différente des experts mais ne permet pas de conclure que le Dr R_________ aurait erré. d) Enfin, les conclusions de l'expert judiciaire rejoignent celles des médecins- traitants (Drs L_________ - avis des 4 décembre 2009 et 4 mai 2010 et M_________ - avis des 30 août 2010, 26 septembre 2011, 25 juin 2012 et 14 mars 2013).</w:t>
      </w:r>
    </w:p>
    <w:p>
      <w:r>
        <w:rPr>
          <w:b/>
        </w:rPr>
        <w:t>E. 9</w:t>
      </w:r>
    </w:p>
    <w:p>
      <w:r>
        <w:t>Au vu de ce qui précède, il y a lieu de suivre les conclusions de l'expertise judiciaire et de reconnaître à la recourante une incapacité totale de travail depuis 2007.</w:t>
      </w:r>
    </w:p>
    <w:p>
      <w:r>
        <w:t>A/1827/2012 - 17/18 - Vu le dépôt de la demande de prestations le 31 mars 2010, la recourante a droit à une rente entière d'invalidité depuis le 1er septembre 2010 (art. 29 al. 3 LAI).</w:t>
      </w:r>
    </w:p>
    <w:p>
      <w:r>
        <w:rPr>
          <w:b/>
        </w:rPr>
        <w:t>E. 10</w:t>
      </w:r>
    </w:p>
    <w:p>
      <w:r>
        <w:t>a) En conséquence, le recours sera admis et il sera dit que la recourante a droit à une rente entière d'invalidité depuis le 1er septembre 2010. b) La recourante obtenant gain de cause, une indemnité de 2'500 fr. lui sera accordée à titre de participation à ses frais et dépens (art. 61 let. g LPGA). Etant donné que, depuis le 1er juillet 2006, la procédure n'est plus gratuite (art. 69 al. 1bis LAI), au vu du sort du recours, il y a lieu de condamner l'intimé au paiement d'un émolument de 200 fr.</w:t>
      </w:r>
    </w:p>
    <w:p>
      <w:r>
        <w:t>A/1827/2012 - 18/18 -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